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E5FF9" w:rsidRDefault="000E5FF9" w:rsidP="00BC3A4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E5FF9" w:rsidRDefault="000E5FF9" w:rsidP="00BC3A4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CONFORTI ANITA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C633DB">
              <w:rPr>
                <w:rFonts w:ascii="Arial Narrow" w:hAnsi="Arial Narrow"/>
                <w:b/>
                <w:smallCaps/>
                <w:sz w:val="24"/>
                <w:lang w:val="it-IT"/>
              </w:rPr>
              <w:t>U.O. Farmacologia, Policlinico "GB Rossi", p.le LA Scuro 10, 37134 Verona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0458027602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0458124876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anita.conforti@univr.it</w:t>
            </w:r>
          </w:p>
        </w:tc>
      </w:tr>
    </w:tbl>
    <w:p w:rsidR="000E5FF9" w:rsidRDefault="000E5FF9" w:rsidP="000E5FF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0E5FF9" w:rsidRDefault="000E5FF9" w:rsidP="000E5FF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4 novembre 1954</w:t>
            </w:r>
          </w:p>
        </w:tc>
      </w:tr>
    </w:tbl>
    <w:p w:rsidR="000E5FF9" w:rsidRDefault="000E5FF9" w:rsidP="000E5FF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E5FF9" w:rsidRDefault="000E5FF9" w:rsidP="000E5FF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0E5FF9" w:rsidTr="00BC3A49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Dal 1981 ad oggi</w:t>
                  </w:r>
                </w:p>
              </w:tc>
            </w:tr>
            <w:tr w:rsidR="000E5FF9" w:rsidTr="00BC3A49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Verona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0E5FF9" w:rsidTr="00BC3A49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OiaeaeiYiio2"/>
                    <w:widowControl/>
                    <w:spacing w:before="20" w:after="20"/>
                    <w:ind w:left="-74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Ricercatore Universitario Confermato</w:t>
                  </w:r>
                </w:p>
              </w:tc>
            </w:tr>
          </w:tbl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0644C">
              <w:rPr>
                <w:rFonts w:ascii="Arial Narrow" w:hAnsi="Arial Narrow"/>
                <w:i w:val="0"/>
                <w:sz w:val="20"/>
                <w:lang w:val="it-IT"/>
              </w:rPr>
              <w:t xml:space="preserve">Titolare dell'insegnamento </w:t>
            </w:r>
            <w:r w:rsidR="00DD10B1">
              <w:rPr>
                <w:rFonts w:ascii="Arial Narrow" w:hAnsi="Arial Narrow"/>
                <w:i w:val="0"/>
                <w:sz w:val="20"/>
                <w:lang w:val="it-IT"/>
              </w:rPr>
              <w:t xml:space="preserve"> di Farmacologia presso diverse scuole di specializzazione della </w:t>
            </w:r>
            <w:r w:rsidRPr="0040644C">
              <w:rPr>
                <w:rFonts w:ascii="Arial Narrow" w:hAnsi="Arial Narrow"/>
                <w:i w:val="0"/>
                <w:sz w:val="20"/>
                <w:lang w:val="it-IT"/>
              </w:rPr>
              <w:t xml:space="preserve"> Facoltà di Medicina e Chirurgia, Università di Verona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; </w:t>
            </w:r>
            <w:r w:rsidRPr="0053677B">
              <w:rPr>
                <w:rFonts w:ascii="Arial Narrow" w:hAnsi="Arial Narrow"/>
                <w:i w:val="0"/>
                <w:sz w:val="20"/>
                <w:lang w:val="it-IT"/>
              </w:rPr>
              <w:t>Titolare dell'insegnamento di Farmacologia presso Corso di Laurea di Fisioterapista,</w:t>
            </w:r>
            <w:r w:rsidR="00731CB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53677B">
              <w:rPr>
                <w:rFonts w:ascii="Arial Narrow" w:hAnsi="Arial Narrow"/>
                <w:i w:val="0"/>
                <w:sz w:val="20"/>
                <w:lang w:val="it-IT"/>
              </w:rPr>
              <w:t xml:space="preserve">presso il Corso di laurea di Tecnico della Riabilitazione Psichiatrica </w:t>
            </w:r>
            <w:r w:rsidR="00DD10B1">
              <w:rPr>
                <w:rFonts w:ascii="Arial Narrow" w:hAnsi="Arial Narrow"/>
                <w:i w:val="0"/>
                <w:sz w:val="20"/>
                <w:lang w:val="it-IT"/>
              </w:rPr>
              <w:t xml:space="preserve"> e presso il coso di laurea per igienisti dentali della </w:t>
            </w:r>
            <w:r w:rsidRPr="0053677B">
              <w:rPr>
                <w:rFonts w:ascii="Arial Narrow" w:hAnsi="Arial Narrow"/>
                <w:i w:val="0"/>
                <w:sz w:val="20"/>
                <w:lang w:val="it-IT"/>
              </w:rPr>
              <w:t xml:space="preserve">Facoltà di Medicina e Chirurgia, Università di Verona. </w:t>
            </w:r>
          </w:p>
          <w:p w:rsidR="00DD10B1" w:rsidRPr="00FE6730" w:rsidRDefault="00DD10B1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Titolare di insegnamenti di corsi elettivi e di </w:t>
            </w:r>
            <w:r w:rsidR="00FE6730">
              <w:rPr>
                <w:rFonts w:ascii="Arial Narrow" w:hAnsi="Arial Narrow"/>
                <w:i w:val="0"/>
                <w:sz w:val="20"/>
                <w:lang w:val="it-IT"/>
              </w:rPr>
              <w:t>attività tutoriali nella Facoltà</w:t>
            </w: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 di Medicina e </w:t>
            </w:r>
            <w:r w:rsidR="002A55A7" w:rsidRPr="00FE6730">
              <w:rPr>
                <w:rFonts w:ascii="Arial Narrow" w:hAnsi="Arial Narrow"/>
                <w:i w:val="0"/>
                <w:sz w:val="20"/>
                <w:lang w:val="it-IT"/>
              </w:rPr>
              <w:t>C</w:t>
            </w: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hirurgia, Verona. </w:t>
            </w:r>
          </w:p>
          <w:p w:rsidR="00FE6730" w:rsidRPr="00FE6730" w:rsidRDefault="00FE6730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Membro del Comitato scientifico del Master di I livello. Farmacovigilanza e discipline </w:t>
            </w:r>
            <w:proofErr w:type="spellStart"/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>regolatorie</w:t>
            </w:r>
            <w:proofErr w:type="spellEnd"/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 sul farmaco dell’Università di Verona</w:t>
            </w:r>
          </w:p>
          <w:p w:rsidR="00DD10B1" w:rsidRPr="00FE6730" w:rsidRDefault="002A55A7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>Coordinatore per l’U</w:t>
            </w:r>
            <w:r w:rsidR="00DD10B1" w:rsidRPr="00FE6730">
              <w:rPr>
                <w:rFonts w:ascii="Arial Narrow" w:hAnsi="Arial Narrow"/>
                <w:i w:val="0"/>
                <w:sz w:val="20"/>
                <w:lang w:val="it-IT"/>
              </w:rPr>
              <w:t>niversità di</w:t>
            </w:r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 Verona  del Master europeo in </w:t>
            </w:r>
            <w:proofErr w:type="spellStart"/>
            <w:r w:rsidRPr="00FE6730">
              <w:rPr>
                <w:rFonts w:ascii="Arial Narrow" w:hAnsi="Arial Narrow"/>
                <w:i w:val="0"/>
                <w:sz w:val="20"/>
                <w:lang w:val="it-IT"/>
              </w:rPr>
              <w:t>F</w:t>
            </w:r>
            <w:r w:rsidR="00DD10B1" w:rsidRPr="00FE6730">
              <w:rPr>
                <w:rFonts w:ascii="Arial Narrow" w:hAnsi="Arial Narrow"/>
                <w:i w:val="0"/>
                <w:sz w:val="20"/>
                <w:lang w:val="it-IT"/>
              </w:rPr>
              <w:t>armacoepidemiologia</w:t>
            </w:r>
            <w:proofErr w:type="spellEnd"/>
            <w:r w:rsidR="00DD10B1" w:rsidRPr="00FE6730">
              <w:rPr>
                <w:rFonts w:ascii="Arial Narrow" w:hAnsi="Arial Narrow"/>
                <w:i w:val="0"/>
                <w:sz w:val="20"/>
                <w:lang w:val="it-IT"/>
              </w:rPr>
              <w:t xml:space="preserve"> e Farmacovigilanza</w:t>
            </w:r>
            <w:r w:rsidR="000819B3" w:rsidRPr="00FE6730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DD10B1" w:rsidRDefault="00DD10B1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D10B1">
              <w:rPr>
                <w:rFonts w:ascii="Arial Narrow" w:hAnsi="Arial Narrow"/>
                <w:i w:val="0"/>
                <w:sz w:val="20"/>
                <w:lang w:val="it-IT"/>
              </w:rPr>
              <w:t xml:space="preserve">Componente del Comitato Etico </w:t>
            </w:r>
            <w:r w:rsidR="005B1618">
              <w:rPr>
                <w:rFonts w:ascii="Arial Narrow" w:hAnsi="Arial Narrow"/>
                <w:i w:val="0"/>
                <w:sz w:val="20"/>
                <w:lang w:val="it-IT"/>
              </w:rPr>
              <w:t xml:space="preserve">per la Sperimentazione Clinica dell’Azienda Ospedaliera Universitaria Integrata di Verona. </w:t>
            </w:r>
          </w:p>
          <w:p w:rsidR="00F54BF1" w:rsidRPr="00DD10B1" w:rsidRDefault="00F54BF1" w:rsidP="00F54BF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Membro del panel dei revisori del WHO nell’ambito della analisi dei segnali di reazioni avverse da farmaci </w:t>
            </w:r>
          </w:p>
          <w:p w:rsidR="00FE6730" w:rsidRDefault="002A55A7" w:rsidP="002A55A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A55A7">
              <w:rPr>
                <w:rFonts w:ascii="Arial Narrow" w:hAnsi="Arial Narrow"/>
                <w:lang w:val="it-IT"/>
              </w:rPr>
              <w:t xml:space="preserve">Membro dell’ISDB (International Society of </w:t>
            </w:r>
            <w:proofErr w:type="spellStart"/>
            <w:r w:rsidRPr="002A55A7">
              <w:rPr>
                <w:rFonts w:ascii="Arial Narrow" w:hAnsi="Arial Narrow"/>
                <w:lang w:val="it-IT"/>
              </w:rPr>
              <w:t>Drug</w:t>
            </w:r>
            <w:proofErr w:type="spellEnd"/>
            <w:r w:rsidRPr="002A55A7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A55A7">
              <w:rPr>
                <w:rFonts w:ascii="Arial Narrow" w:hAnsi="Arial Narrow"/>
                <w:lang w:val="it-IT"/>
              </w:rPr>
              <w:t>Bulletin</w:t>
            </w:r>
            <w:proofErr w:type="spellEnd"/>
            <w:r w:rsidRPr="002A55A7">
              <w:rPr>
                <w:rFonts w:ascii="Arial Narrow" w:hAnsi="Arial Narrow"/>
                <w:lang w:val="it-IT"/>
              </w:rPr>
              <w:t xml:space="preserve">), dell’ </w:t>
            </w:r>
            <w:r>
              <w:rPr>
                <w:rFonts w:ascii="Arial Narrow" w:hAnsi="Arial Narrow"/>
                <w:lang w:val="it-IT"/>
              </w:rPr>
              <w:t xml:space="preserve">ISOP (International Society of </w:t>
            </w:r>
            <w:proofErr w:type="spellStart"/>
            <w:r>
              <w:rPr>
                <w:rFonts w:ascii="Arial Narrow" w:hAnsi="Arial Narrow"/>
                <w:lang w:val="it-IT"/>
              </w:rPr>
              <w:t>Pharmacovigilance</w:t>
            </w:r>
            <w:proofErr w:type="spellEnd"/>
            <w:r>
              <w:rPr>
                <w:rFonts w:ascii="Arial Narrow" w:hAnsi="Arial Narrow"/>
                <w:lang w:val="it-IT"/>
              </w:rPr>
              <w:t>) e della SIF(Società Italiana di Farmacologia).</w:t>
            </w:r>
            <w:r w:rsidRPr="00712C85">
              <w:rPr>
                <w:rFonts w:ascii="Arial Narrow" w:hAnsi="Arial Narrow"/>
                <w:lang w:val="it-IT"/>
              </w:rPr>
              <w:t xml:space="preserve"> </w:t>
            </w:r>
            <w:r w:rsidRPr="006F4623">
              <w:rPr>
                <w:rFonts w:ascii="Arial Narrow" w:hAnsi="Arial Narrow"/>
                <w:lang w:val="it-IT"/>
              </w:rPr>
              <w:t>Componente della redazione di</w:t>
            </w:r>
            <w:r>
              <w:rPr>
                <w:rFonts w:ascii="Arial Narrow" w:hAnsi="Arial Narrow"/>
                <w:lang w:val="it-IT"/>
              </w:rPr>
              <w:t xml:space="preserve">  </w:t>
            </w:r>
            <w:r w:rsidRPr="006F4623">
              <w:rPr>
                <w:rFonts w:ascii="Arial Narrow" w:hAnsi="Arial Narrow"/>
                <w:lang w:val="it-IT"/>
              </w:rPr>
              <w:t xml:space="preserve"> “FOCUS </w:t>
            </w:r>
            <w:proofErr w:type="spellStart"/>
            <w:r w:rsidRPr="006F4623">
              <w:rPr>
                <w:rFonts w:ascii="Arial Narrow" w:hAnsi="Arial Narrow"/>
                <w:lang w:val="it-IT"/>
              </w:rPr>
              <w:t>Farmacovigilanza”,bollettino</w:t>
            </w:r>
            <w:proofErr w:type="spellEnd"/>
            <w:r w:rsidRPr="006F4623">
              <w:rPr>
                <w:rFonts w:ascii="Arial Narrow" w:hAnsi="Arial Narrow"/>
                <w:lang w:val="it-IT"/>
              </w:rPr>
              <w:t xml:space="preserve"> sulle reazioni avverse da farmaci</w:t>
            </w:r>
            <w:r w:rsidR="00FE6730">
              <w:rPr>
                <w:rFonts w:ascii="Arial Narrow" w:hAnsi="Arial Narrow"/>
                <w:lang w:val="it-IT"/>
              </w:rPr>
              <w:t xml:space="preserve">. </w:t>
            </w:r>
          </w:p>
          <w:p w:rsidR="00FE6730" w:rsidRDefault="00FE6730" w:rsidP="002A55A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</w:t>
            </w:r>
            <w:r w:rsidR="002A55A7" w:rsidRPr="006F4623">
              <w:rPr>
                <w:rFonts w:ascii="Arial Narrow" w:hAnsi="Arial Narrow"/>
                <w:lang w:val="it-IT"/>
              </w:rPr>
              <w:t xml:space="preserve">ome </w:t>
            </w:r>
            <w:r>
              <w:rPr>
                <w:rFonts w:ascii="Arial Narrow" w:hAnsi="Arial Narrow"/>
                <w:lang w:val="it-IT"/>
              </w:rPr>
              <w:t xml:space="preserve">componente del Centro regionale di FV del Veneto, </w:t>
            </w:r>
            <w:r w:rsidR="002A55A7" w:rsidRPr="006F4623">
              <w:rPr>
                <w:rFonts w:ascii="Arial Narrow" w:hAnsi="Arial Narrow"/>
                <w:lang w:val="it-IT"/>
              </w:rPr>
              <w:t>collabora</w:t>
            </w:r>
            <w:r w:rsidR="002A55A7">
              <w:rPr>
                <w:rFonts w:ascii="Arial Narrow" w:hAnsi="Arial Narrow"/>
                <w:lang w:val="it-IT"/>
              </w:rPr>
              <w:t xml:space="preserve"> </w:t>
            </w:r>
            <w:r w:rsidR="002A55A7" w:rsidRPr="006F4623">
              <w:rPr>
                <w:rFonts w:ascii="Arial Narrow" w:hAnsi="Arial Narrow"/>
                <w:lang w:val="it-IT"/>
              </w:rPr>
              <w:t>con l’Agenzia Italiana del Farmaco (AIFA</w:t>
            </w:r>
            <w:r w:rsidR="002A55A7">
              <w:rPr>
                <w:rFonts w:ascii="Arial Narrow" w:hAnsi="Arial Narrow"/>
                <w:lang w:val="it-IT"/>
              </w:rPr>
              <w:t xml:space="preserve"> </w:t>
            </w:r>
            <w:r w:rsidR="002A55A7" w:rsidRPr="006F4623">
              <w:rPr>
                <w:rFonts w:ascii="Arial Narrow" w:hAnsi="Arial Narrow"/>
                <w:lang w:val="it-IT"/>
              </w:rPr>
              <w:t>)</w:t>
            </w:r>
            <w:r w:rsidR="002A55A7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nell’</w:t>
            </w:r>
            <w:r w:rsidR="002A55A7" w:rsidRPr="006F4623">
              <w:rPr>
                <w:rFonts w:ascii="Arial Narrow" w:hAnsi="Arial Narrow"/>
                <w:lang w:val="it-IT"/>
              </w:rPr>
              <w:t>attività di analisi dei dati della segnalazione spontanea in Italia</w:t>
            </w:r>
            <w:r w:rsidR="002A55A7">
              <w:rPr>
                <w:rFonts w:ascii="Arial Narrow" w:hAnsi="Arial Narrow"/>
                <w:lang w:val="it-IT"/>
              </w:rPr>
              <w:t xml:space="preserve"> e nell’analisi periodica dei segnali di </w:t>
            </w:r>
            <w:proofErr w:type="spellStart"/>
            <w:r w:rsidR="002A55A7">
              <w:rPr>
                <w:rFonts w:ascii="Arial Narrow" w:hAnsi="Arial Narrow"/>
                <w:lang w:val="it-IT"/>
              </w:rPr>
              <w:t>Eudravigilance</w:t>
            </w:r>
            <w:proofErr w:type="spellEnd"/>
            <w:r w:rsidR="002A55A7">
              <w:rPr>
                <w:rFonts w:ascii="Arial Narrow" w:hAnsi="Arial Narrow"/>
                <w:lang w:val="it-IT"/>
              </w:rPr>
              <w:t xml:space="preserve"> per l’Agenzia Europea sul farmaco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54BF1" w:rsidRDefault="00FE6730" w:rsidP="002A55A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</w:t>
            </w:r>
            <w:r w:rsidR="002A55A7">
              <w:rPr>
                <w:rFonts w:ascii="Arial Narrow" w:hAnsi="Arial Narrow"/>
                <w:lang w:val="it-IT"/>
              </w:rPr>
              <w:t xml:space="preserve">artecipa </w:t>
            </w:r>
            <w:r>
              <w:rPr>
                <w:rFonts w:ascii="Arial Narrow" w:hAnsi="Arial Narrow"/>
                <w:lang w:val="it-IT"/>
              </w:rPr>
              <w:t>e coordina</w:t>
            </w:r>
            <w:r w:rsidR="002A55A7" w:rsidRPr="006F4623">
              <w:rPr>
                <w:rFonts w:ascii="Arial Narrow" w:hAnsi="Arial Narrow"/>
                <w:lang w:val="it-IT"/>
              </w:rPr>
              <w:t xml:space="preserve"> diversi progetti europei </w:t>
            </w:r>
            <w:r>
              <w:rPr>
                <w:rFonts w:ascii="Arial Narrow" w:hAnsi="Arial Narrow"/>
                <w:lang w:val="it-IT"/>
              </w:rPr>
              <w:t xml:space="preserve">e nazionali </w:t>
            </w:r>
            <w:r w:rsidR="002A55A7" w:rsidRPr="006F4623">
              <w:rPr>
                <w:rFonts w:ascii="Arial Narrow" w:hAnsi="Arial Narrow"/>
                <w:lang w:val="it-IT"/>
              </w:rPr>
              <w:t>nel campo della farmacovigilanza</w:t>
            </w:r>
            <w:r w:rsidR="002A55A7">
              <w:rPr>
                <w:rFonts w:ascii="Arial Narrow" w:hAnsi="Arial Narrow"/>
                <w:lang w:val="it-IT"/>
              </w:rPr>
              <w:t xml:space="preserve">; </w:t>
            </w:r>
            <w:r w:rsidR="002A55A7" w:rsidRPr="000434E6">
              <w:rPr>
                <w:rFonts w:ascii="Arial Narrow" w:hAnsi="Arial Narrow"/>
                <w:lang w:val="it-IT"/>
              </w:rPr>
              <w:t xml:space="preserve">Autore o coautore di oltre </w:t>
            </w:r>
            <w:r>
              <w:rPr>
                <w:rFonts w:ascii="Arial Narrow" w:hAnsi="Arial Narrow"/>
                <w:lang w:val="it-IT"/>
              </w:rPr>
              <w:t>100</w:t>
            </w:r>
            <w:r w:rsidR="002A55A7" w:rsidRPr="000434E6">
              <w:rPr>
                <w:rFonts w:ascii="Arial Narrow" w:hAnsi="Arial Narrow"/>
                <w:lang w:val="it-IT"/>
              </w:rPr>
              <w:t xml:space="preserve"> pubblicazioni su riviste internazionali</w:t>
            </w:r>
            <w:r w:rsidR="002A55A7">
              <w:rPr>
                <w:rFonts w:ascii="Arial Narrow" w:hAnsi="Arial Narrow"/>
                <w:lang w:val="it-IT"/>
              </w:rPr>
              <w:t xml:space="preserve">. </w:t>
            </w:r>
          </w:p>
          <w:p w:rsidR="002A55A7" w:rsidRDefault="002A55A7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A55A7" w:rsidRPr="0053677B" w:rsidRDefault="002A55A7" w:rsidP="00DD10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F54B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1977</w:t>
            </w:r>
          </w:p>
        </w:tc>
      </w:tr>
      <w:tr w:rsidR="000E5FF9" w:rsidTr="00F54B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Bologna</w:t>
            </w:r>
          </w:p>
        </w:tc>
      </w:tr>
      <w:tr w:rsidR="000E5FF9" w:rsidTr="00F54B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E5FF9" w:rsidTr="00F54B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Farmacia a pieni voti</w:t>
            </w:r>
            <w:r w:rsidR="002A55A7">
              <w:rPr>
                <w:rFonts w:ascii="Arial Narrow" w:hAnsi="Arial Narrow"/>
                <w:i w:val="0"/>
                <w:sz w:val="20"/>
                <w:lang w:val="it-IT"/>
              </w:rPr>
              <w:t xml:space="preserve"> presso L’Università di Bologna</w:t>
            </w:r>
          </w:p>
          <w:p w:rsidR="00DD10B1" w:rsidRDefault="002A55A7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Specializzazione in F</w:t>
            </w:r>
            <w:r w:rsidR="00DD10B1">
              <w:rPr>
                <w:rFonts w:ascii="Arial Narrow" w:hAnsi="Arial Narrow"/>
                <w:i w:val="0"/>
                <w:sz w:val="20"/>
                <w:lang w:val="it-IT"/>
              </w:rPr>
              <w:t>armacologia presso l’Università di Milano</w:t>
            </w:r>
          </w:p>
        </w:tc>
      </w:tr>
      <w:tr w:rsidR="000E5FF9" w:rsidTr="00F54B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E5FF9" w:rsidTr="00F54BF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FE6730">
              <w:rPr>
                <w:rFonts w:ascii="Arial Narrow" w:hAnsi="Arial Narrow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E5FF9" w:rsidRDefault="000E5FF9" w:rsidP="000E5FF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:rsidR="000E5FF9" w:rsidRDefault="000E5FF9" w:rsidP="000E5FF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0E5FF9" w:rsidRDefault="000E5FF9" w:rsidP="000E5FF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0E5FF9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0E5FF9" w:rsidRPr="00712C85" w:rsidTr="00BC3A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10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E5FF9" w:rsidTr="00BC3A49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b/>
                      <w:i w:val="0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Inglese</w:t>
                  </w:r>
                </w:p>
              </w:tc>
            </w:tr>
            <w:tr w:rsidR="000E5FF9" w:rsidTr="00BC3A49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9B3" w:rsidRDefault="000819B3" w:rsidP="00BC3A49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b/>
                      <w:i w:val="0"/>
                      <w:lang w:val="it-IT"/>
                    </w:rPr>
                  </w:pPr>
                </w:p>
                <w:p w:rsidR="000E5FF9" w:rsidRDefault="000E5FF9" w:rsidP="00BC3A49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lang w:val="it-IT"/>
                    </w:rPr>
                    <w:t>Buono</w:t>
                  </w:r>
                </w:p>
              </w:tc>
            </w:tr>
            <w:tr w:rsidR="000E5FF9" w:rsidTr="00BC3A49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eeaoaeaa2"/>
                    <w:widowControl/>
                    <w:spacing w:before="20" w:after="20"/>
                    <w:ind w:right="33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lang w:val="it-IT"/>
                    </w:rPr>
                    <w:t>Buono</w:t>
                  </w:r>
                </w:p>
              </w:tc>
            </w:tr>
            <w:tr w:rsidR="000E5FF9" w:rsidTr="00BC3A49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lang w:val="it-IT"/>
                    </w:rPr>
                    <w:t>Capacità di espressione orale</w:t>
                  </w:r>
                </w:p>
                <w:p w:rsidR="000E5FF9" w:rsidRDefault="000E5FF9" w:rsidP="00BC3A49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  <w:p w:rsidR="000E5FF9" w:rsidRDefault="000E5FF9" w:rsidP="00BC3A49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  <w:p w:rsidR="000E5FF9" w:rsidRDefault="000E5FF9" w:rsidP="00BC3A49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lang w:val="it-IT"/>
                    </w:rPr>
                    <w:t>Buono</w:t>
                  </w:r>
                </w:p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  <w:lang w:val="it-IT"/>
                    </w:rPr>
                  </w:pPr>
                </w:p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  <w:lang w:val="it-IT"/>
                    </w:rPr>
                  </w:pPr>
                </w:p>
                <w:p w:rsidR="000E5FF9" w:rsidRDefault="000E5FF9" w:rsidP="00BC3A49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:rsidR="000E5FF9" w:rsidRDefault="000E5FF9" w:rsidP="00BC3A4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  <w:p w:rsidR="000819B3" w:rsidRDefault="000819B3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Francese</w:t>
            </w:r>
          </w:p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Ottimo</w:t>
            </w:r>
          </w:p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Ottimo</w:t>
            </w:r>
          </w:p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Ottimo</w:t>
            </w:r>
          </w:p>
          <w:p w:rsidR="000E5FF9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E5FF9" w:rsidRPr="00712C85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E5FF9" w:rsidRDefault="000E5FF9" w:rsidP="000E5FF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5FF9" w:rsidRPr="00BC3A49" w:rsidTr="000819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FF9" w:rsidRPr="00BC3A49" w:rsidRDefault="000E5FF9" w:rsidP="00BC3A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BC3A49">
              <w:rPr>
                <w:rFonts w:ascii="Arial Narrow" w:hAnsi="Arial Narrow"/>
                <w:lang w:val="it-IT"/>
              </w:rPr>
              <w:t xml:space="preserve">Capacità e competenze </w:t>
            </w:r>
          </w:p>
          <w:p w:rsidR="000E5FF9" w:rsidRPr="00BC3A49" w:rsidRDefault="000E5FF9" w:rsidP="00BC3A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FF9" w:rsidRDefault="000E5FF9" w:rsidP="00BC3A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>Conduzione di studi epidemiologici mul</w:t>
            </w:r>
            <w:r w:rsidR="00FE6730">
              <w:rPr>
                <w:rFonts w:ascii="Arial Narrow" w:hAnsi="Arial Narrow"/>
                <w:lang w:val="it-IT"/>
              </w:rPr>
              <w:t>ticentrici caso-controllo su reazioni avverse da farmaci (</w:t>
            </w:r>
            <w:r w:rsidRPr="00DD10B1">
              <w:rPr>
                <w:rFonts w:ascii="Arial Narrow" w:hAnsi="Arial Narrow"/>
                <w:lang w:val="it-IT"/>
              </w:rPr>
              <w:t>emorragie gastrointestinali e epatiti da farmaci</w:t>
            </w:r>
            <w:r w:rsidR="00FE6730">
              <w:rPr>
                <w:rFonts w:ascii="Arial Narrow" w:hAnsi="Arial Narrow"/>
                <w:lang w:val="it-IT"/>
              </w:rPr>
              <w:t>)</w:t>
            </w:r>
            <w:r w:rsidRPr="00DD10B1">
              <w:rPr>
                <w:rFonts w:ascii="Arial Narrow" w:hAnsi="Arial Narrow"/>
                <w:lang w:val="it-IT"/>
              </w:rPr>
              <w:t xml:space="preserve">. </w:t>
            </w:r>
            <w:r w:rsidR="007024C6">
              <w:rPr>
                <w:rFonts w:ascii="Arial Narrow" w:hAnsi="Arial Narrow"/>
                <w:lang w:val="it-IT"/>
              </w:rPr>
              <w:t>Coordinamento di studi regionali e interregionali su problematiche di sicurezza dei farmaci</w:t>
            </w:r>
            <w:r w:rsidRPr="00DD10B1">
              <w:rPr>
                <w:rFonts w:ascii="Arial Narrow" w:hAnsi="Arial Narrow"/>
                <w:lang w:val="it-IT"/>
              </w:rPr>
              <w:t xml:space="preserve">. </w:t>
            </w:r>
          </w:p>
          <w:p w:rsidR="00731C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Partecipazione e organizzazione della parte italiana dello studio Europeo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Eudragene</w:t>
            </w:r>
            <w:proofErr w:type="spellEnd"/>
            <w:r w:rsidRPr="00DD10B1">
              <w:rPr>
                <w:rFonts w:ascii="Arial Narrow" w:hAnsi="Arial Narrow"/>
                <w:lang w:val="it-IT"/>
              </w:rPr>
              <w:t xml:space="preserve">, sulle basi genetiche delle reazioni avverse da farmaci.  </w:t>
            </w:r>
          </w:p>
          <w:p w:rsidR="00731C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Partecipazione allo studio Europeo sulla falsificazione delle ricette a scopo di abuso da parte dei pazienti, condotto in collaborazione con i farmacisti territoriali (OSIAP).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>Partecipazione al Progetto Europeo</w:t>
            </w:r>
            <w:r w:rsidR="007024C6">
              <w:rPr>
                <w:rFonts w:ascii="Arial Narrow" w:hAnsi="Arial Narrow"/>
                <w:lang w:val="it-IT"/>
              </w:rPr>
              <w:t xml:space="preserve"> di un Master in </w:t>
            </w:r>
            <w:proofErr w:type="spellStart"/>
            <w:r w:rsidR="007024C6">
              <w:rPr>
                <w:rFonts w:ascii="Arial Narrow" w:hAnsi="Arial Narrow"/>
                <w:lang w:val="it-IT"/>
              </w:rPr>
              <w:t>Farmacoepidemiologia</w:t>
            </w:r>
            <w:proofErr w:type="spellEnd"/>
            <w:r w:rsidR="007024C6">
              <w:rPr>
                <w:rFonts w:ascii="Arial Narrow" w:hAnsi="Arial Narrow"/>
                <w:lang w:val="it-IT"/>
              </w:rPr>
              <w:t xml:space="preserve"> e farmacovigilanza: </w:t>
            </w:r>
            <w:r w:rsidRPr="00DD10B1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European</w:t>
            </w:r>
            <w:proofErr w:type="spellEnd"/>
            <w:r w:rsidR="007024C6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Programme</w:t>
            </w:r>
            <w:proofErr w:type="spellEnd"/>
            <w:r w:rsidRPr="00DD10B1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Pharmacovigilance</w:t>
            </w:r>
            <w:proofErr w:type="spellEnd"/>
            <w:r w:rsidRPr="00DD10B1">
              <w:rPr>
                <w:rFonts w:ascii="Arial Narrow" w:hAnsi="Arial Narrow"/>
                <w:lang w:val="it-IT"/>
              </w:rPr>
              <w:t xml:space="preserve"> and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Pharmacoepidemiology</w:t>
            </w:r>
            <w:proofErr w:type="spellEnd"/>
            <w:r w:rsidRPr="00DD10B1">
              <w:rPr>
                <w:rFonts w:ascii="Arial Narrow" w:hAnsi="Arial Narrow"/>
                <w:lang w:val="it-IT"/>
              </w:rPr>
              <w:t xml:space="preserve"> (Eu2P).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Analisi semestrale delle segnalazioni spontanee di effetti avversi da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farmaci</w:t>
            </w:r>
            <w:r w:rsidR="007024C6">
              <w:rPr>
                <w:rFonts w:ascii="Arial Narrow" w:hAnsi="Arial Narrow"/>
                <w:lang w:val="it-IT"/>
              </w:rPr>
              <w:t>nella</w:t>
            </w:r>
            <w:proofErr w:type="spellEnd"/>
            <w:r w:rsidR="007024C6">
              <w:rPr>
                <w:rFonts w:ascii="Arial Narrow" w:hAnsi="Arial Narrow"/>
                <w:lang w:val="it-IT"/>
              </w:rPr>
              <w:t xml:space="preserve"> rete nazionale di FV , in collaborazione con </w:t>
            </w:r>
            <w:r w:rsidRPr="00DD10B1">
              <w:rPr>
                <w:rFonts w:ascii="Arial Narrow" w:hAnsi="Arial Narrow"/>
                <w:lang w:val="it-IT"/>
              </w:rPr>
              <w:t xml:space="preserve"> altre regioni italiane e con l’AIFA. 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Organizzazione di eventi formativi residenziali e progetti di formazione sul campo accreditati ECM sulla farmacosorveglianza rivolti a medici, infermieri, farmacisti e cittadini.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Collaborazione come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reviewer</w:t>
            </w:r>
            <w:proofErr w:type="spellEnd"/>
            <w:r w:rsidRPr="00DD10B1">
              <w:rPr>
                <w:rFonts w:ascii="Arial Narrow" w:hAnsi="Arial Narrow"/>
                <w:lang w:val="it-IT"/>
              </w:rPr>
              <w:t xml:space="preserve"> con L’UMC di Uppsala, Svezia, nell’analisi dei segnali della banca dati dell’OMS, pubblicati nella rivista </w:t>
            </w:r>
            <w:proofErr w:type="spellStart"/>
            <w:r w:rsidRPr="00DD10B1">
              <w:rPr>
                <w:rFonts w:ascii="Arial Narrow" w:hAnsi="Arial Narrow"/>
                <w:lang w:val="it-IT"/>
              </w:rPr>
              <w:t>Signal</w:t>
            </w:r>
            <w:proofErr w:type="spellEnd"/>
            <w:r w:rsidR="007024C6">
              <w:rPr>
                <w:rFonts w:ascii="Arial Narrow" w:hAnsi="Arial Narrow"/>
                <w:lang w:val="it-IT"/>
              </w:rPr>
              <w:t xml:space="preserve"> e nella rivista WHO </w:t>
            </w:r>
            <w:proofErr w:type="spellStart"/>
            <w:r w:rsidR="007024C6">
              <w:rPr>
                <w:rFonts w:ascii="Arial Narrow" w:hAnsi="Arial Narrow"/>
                <w:lang w:val="it-IT"/>
              </w:rPr>
              <w:t>Pharmaceutical</w:t>
            </w:r>
            <w:proofErr w:type="spellEnd"/>
            <w:r w:rsidR="007024C6">
              <w:rPr>
                <w:rFonts w:ascii="Arial Narrow" w:hAnsi="Arial Narrow"/>
                <w:lang w:val="it-IT"/>
              </w:rPr>
              <w:t xml:space="preserve"> Newsletter</w:t>
            </w:r>
            <w:r w:rsidRPr="00DD10B1">
              <w:rPr>
                <w:rFonts w:ascii="Arial Narrow" w:hAnsi="Arial Narrow"/>
                <w:lang w:val="it-IT"/>
              </w:rPr>
              <w:t xml:space="preserve">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>Medicine complementari</w:t>
            </w:r>
          </w:p>
          <w:p w:rsidR="00731C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Ricerche sull’efficacia di alcuni preparati omeopatici in modelli di infiammazione acuta e cronica e in modelli comportamentali di ansia nel ratto.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t xml:space="preserve">Partecipazione al progetto di ricerca sulle Terapie non Convenzionali coordinato dall’Istituto Superiore di Sanità. </w:t>
            </w:r>
          </w:p>
          <w:p w:rsidR="00DD10B1" w:rsidRPr="00DD10B1" w:rsidRDefault="00DD10B1" w:rsidP="00DD10B1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DD10B1">
              <w:rPr>
                <w:rFonts w:ascii="Arial Narrow" w:hAnsi="Arial Narrow"/>
                <w:lang w:val="it-IT"/>
              </w:rPr>
              <w:lastRenderedPageBreak/>
              <w:t>Partecipazione alle attività dell’Osservatorio per le medicine Complementari, costituito dall’Ordine dei Medici e dall’Università di Verona.</w:t>
            </w:r>
          </w:p>
          <w:p w:rsidR="000E5FF9" w:rsidRPr="00712C85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712C85">
              <w:rPr>
                <w:rFonts w:ascii="Arial Narrow" w:hAnsi="Arial Narrow"/>
                <w:lang w:val="it-IT"/>
              </w:rPr>
              <w:t>.</w:t>
            </w:r>
          </w:p>
          <w:p w:rsidR="000E5FF9" w:rsidRPr="00712C85" w:rsidRDefault="000E5FF9" w:rsidP="00BC3A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E5FF9" w:rsidRDefault="000E5FF9" w:rsidP="002A55A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712C85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0819B3" w:rsidRPr="000819B3" w:rsidTr="000819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19B3" w:rsidRPr="000819B3" w:rsidRDefault="00191FE7" w:rsidP="00191FE7">
            <w:pPr>
              <w:pStyle w:val="Aaoeeu"/>
              <w:ind w:right="33"/>
              <w:jc w:val="right"/>
              <w:rPr>
                <w:rFonts w:ascii="Arial Narrow" w:hAnsi="Arial Narrow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color w:val="000000" w:themeColor="text1"/>
                <w:lang w:val="it-IT"/>
              </w:rPr>
              <w:lastRenderedPageBreak/>
              <w:t>Pubblicazioni degli anni 2011</w:t>
            </w:r>
            <w:r w:rsidR="000819B3" w:rsidRPr="000819B3">
              <w:rPr>
                <w:rFonts w:ascii="Arial Narrow" w:hAnsi="Arial Narrow"/>
                <w:color w:val="000000" w:themeColor="text1"/>
                <w:lang w:val="it-IT"/>
              </w:rPr>
              <w:t>- 201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4</w:t>
            </w:r>
            <w:r w:rsidR="000819B3" w:rsidRPr="000819B3">
              <w:rPr>
                <w:rFonts w:ascii="Arial Narrow" w:hAnsi="Arial Narrow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19B3" w:rsidRPr="000819B3" w:rsidRDefault="000819B3" w:rsidP="000819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19B3" w:rsidRPr="000819B3" w:rsidRDefault="000819B3" w:rsidP="00191FE7">
            <w:p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AE4A7E" w:rsidRPr="00AE4A7E" w:rsidRDefault="00AE4A7E" w:rsidP="00AE4A7E">
            <w:pPr>
              <w:pStyle w:val="citation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</w:p>
          <w:p w:rsidR="000819B3" w:rsidRPr="00AE4A7E" w:rsidRDefault="000819B3" w:rsidP="00AE4A7E">
            <w:pPr>
              <w:pStyle w:val="desc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Opri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S, D'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Incau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P,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Meglioranzi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Pignata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C,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Brasola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S, Conforti A, Leone R.</w:t>
            </w:r>
            <w:hyperlink r:id="rId8" w:history="1">
              <w:r w:rsidRPr="000819B3">
                <w:rPr>
                  <w:rStyle w:val="Collegamentoipertestuale"/>
                  <w:rFonts w:ascii="Arial Narrow" w:hAnsi="Arial Narrow"/>
                  <w:color w:val="000000" w:themeColor="text1"/>
                  <w:lang w:val="en-US" w:eastAsia="ko-KR"/>
                </w:rPr>
                <w:t>[Venus study: a research and education project on nurses and drug surveillance].</w:t>
              </w:r>
            </w:hyperlink>
            <w:r w:rsidRPr="00AE4A7E">
              <w:rPr>
                <w:rStyle w:val="jrnl"/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Assist </w:t>
            </w:r>
            <w:proofErr w:type="spellStart"/>
            <w:r w:rsidRPr="00AE4A7E">
              <w:rPr>
                <w:rStyle w:val="jrnl"/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InfermRic</w:t>
            </w:r>
            <w:proofErr w:type="spellEnd"/>
            <w:r w:rsidRPr="00AE4A7E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. 2011 Jan-Mar;30(1):6-15. Italian </w:t>
            </w:r>
          </w:p>
          <w:p w:rsidR="000819B3" w:rsidRPr="00AE4A7E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Pr="00AE4A7E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Pr="000819B3" w:rsidRDefault="000819B3" w:rsidP="00AE4A7E">
            <w:pPr>
              <w:pStyle w:val="desc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P.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DIncau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A.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M.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Gangemi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L.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Vettore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A.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Carreri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: An educational process to transfer research into the pharmacist’s daily practice: An observational study in community pharmacies.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Pharmacy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Education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, 2011; 11 (1): 38 – 45</w:t>
            </w:r>
          </w:p>
          <w:p w:rsidR="000819B3" w:rsidRPr="000819B3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  <w:lang w:val="it-IT"/>
              </w:rPr>
            </w:pPr>
          </w:p>
          <w:p w:rsidR="000819B3" w:rsidRPr="000819B3" w:rsidRDefault="000819B3" w:rsidP="00AE4A7E">
            <w:pPr>
              <w:pStyle w:val="Titolo10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D'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Incau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P,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Barbui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C, Tubini J, Conforti A.</w:t>
            </w:r>
            <w:hyperlink r:id="rId9" w:history="1">
              <w:r w:rsidRPr="000819B3">
                <w:rPr>
                  <w:rStyle w:val="Collegamentoipertestuale"/>
                  <w:rFonts w:ascii="Arial Narrow" w:hAnsi="Arial Narrow"/>
                  <w:color w:val="000000" w:themeColor="text1"/>
                  <w:lang w:val="en-US" w:eastAsia="ko-KR"/>
                </w:rPr>
                <w:t xml:space="preserve">Stressful life events and social health factors in women using anxiolytics and antidepressants: an </w:t>
              </w:r>
              <w:proofErr w:type="spellStart"/>
              <w:r w:rsidRPr="000819B3">
                <w:rPr>
                  <w:rStyle w:val="Collegamentoipertestuale"/>
                  <w:rFonts w:ascii="Arial Narrow" w:hAnsi="Arial Narrow"/>
                  <w:color w:val="000000" w:themeColor="text1"/>
                  <w:lang w:val="en-US" w:eastAsia="ko-KR"/>
                </w:rPr>
                <w:t>italian</w:t>
              </w:r>
              <w:proofErr w:type="spellEnd"/>
              <w:r w:rsidRPr="000819B3">
                <w:rPr>
                  <w:rStyle w:val="Collegamentoipertestuale"/>
                  <w:rFonts w:ascii="Arial Narrow" w:hAnsi="Arial Narrow"/>
                  <w:color w:val="000000" w:themeColor="text1"/>
                  <w:lang w:val="en-US" w:eastAsia="ko-KR"/>
                </w:rPr>
                <w:t xml:space="preserve"> observational study in community pharmacies.</w:t>
              </w:r>
            </w:hyperlink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Gend</w:t>
            </w:r>
            <w:proofErr w:type="spellEnd"/>
            <w:r w:rsidR="00191FE7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Med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. 2011 Apr;8(2):80-92 </w:t>
            </w:r>
          </w:p>
          <w:p w:rsidR="000819B3" w:rsidRPr="000819B3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  <w:lang w:val="it-IT"/>
              </w:rPr>
            </w:pPr>
          </w:p>
          <w:p w:rsidR="000819B3" w:rsidRPr="000819B3" w:rsidRDefault="000819B3" w:rsidP="00AE4A7E">
            <w:pPr>
              <w:pStyle w:val="des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Lucena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MI,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Molokhia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Shen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Y, Urban TJ,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Aithal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GP,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Andrade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RJ,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DayCP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Ruiz-Cabello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F,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Donaldson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PT,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Stephens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C,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Pirmohamed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M, Romero-Gomez M, Navarro JM, Fontana RJ, Miller M,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Groome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Bondon-Guitton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E, Conforti A,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Stricker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BH,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Carvajal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A,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Ibanez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L,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Yue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QY,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Eichelbaum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Floratos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A,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Pe'er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I,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Daly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MJ,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Goldstein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DB,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Dillon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JF, Nelson MR, Watkins PB,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Daly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AK. </w:t>
            </w: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Susceptibility to amoxicillin-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clavulanate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-induced liver injury is influenced by multiple HLA class I and class II alleles. </w:t>
            </w:r>
            <w:proofErr w:type="spellStart"/>
            <w:r w:rsidRPr="000819B3">
              <w:rPr>
                <w:rStyle w:val="jrnl"/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Gastroenterology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. 2011;  141(1):338-47. </w:t>
            </w:r>
          </w:p>
          <w:p w:rsidR="000819B3" w:rsidRPr="000819B3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  <w:lang w:val="it-IT"/>
              </w:rPr>
            </w:pPr>
          </w:p>
          <w:p w:rsidR="000819B3" w:rsidRPr="00026082" w:rsidRDefault="000819B3" w:rsidP="000260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googqs-tidbit1"/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A.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Carvajal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S. Ortega, L. Del Olmo, X.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Vidal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C.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Aguirre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B.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Ruiz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A. Conforti, R. Leone,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P.Lopez-Vazquez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A.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Figueiras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L.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Ibanez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Selective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Serotonin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Reuptake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Inhibitors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and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Gastrointestinal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Bleeding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: A Case-Control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Study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PLoS</w:t>
            </w:r>
            <w:proofErr w:type="spellEnd"/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ONE</w:t>
            </w:r>
            <w:r w:rsid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2011</w:t>
            </w:r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F54BF1" w:rsidRPr="00026082">
              <w:rPr>
                <w:rStyle w:val="googqs-tidbit1"/>
                <w:rFonts w:ascii="Arial Narrow" w:hAnsi="Arial Narrow"/>
                <w:color w:val="000000" w:themeColor="text1"/>
                <w:sz w:val="20"/>
                <w:szCs w:val="20"/>
                <w:lang w:eastAsia="ko-KR"/>
                <w:specVanish w:val="0"/>
              </w:rPr>
              <w:t xml:space="preserve">; </w:t>
            </w:r>
            <w:r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6(5): </w:t>
            </w:r>
            <w:r w:rsidR="00026082"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e19819. </w:t>
            </w:r>
            <w:proofErr w:type="spellStart"/>
            <w:r w:rsidR="00026082"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doi</w:t>
            </w:r>
            <w:proofErr w:type="spellEnd"/>
            <w:r w:rsidR="00026082" w:rsidRP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: 10.1371</w:t>
            </w:r>
          </w:p>
          <w:p w:rsidR="000819B3" w:rsidRPr="00026082" w:rsidRDefault="000819B3" w:rsidP="00AE4A7E">
            <w:pPr>
              <w:pStyle w:val="Eaoaeaa"/>
              <w:rPr>
                <w:rStyle w:val="googqs-tidbit1"/>
                <w:rFonts w:ascii="Arial Narrow" w:hAnsi="Arial Narrow"/>
                <w:color w:val="000000" w:themeColor="text1"/>
                <w:lang w:val="it-IT"/>
              </w:rPr>
            </w:pPr>
          </w:p>
          <w:p w:rsidR="000819B3" w:rsidRPr="00F54BF1" w:rsidRDefault="000819B3" w:rsidP="00AE4A7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</w:pPr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M.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Marzotto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A.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P.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Magnani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, M. E.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Zanolin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and P.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Bellavite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Effects of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Ignatia</w:t>
            </w:r>
            <w:proofErr w:type="spellEnd"/>
            <w:r w:rsidR="00026082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amara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in mouse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behavioural</w:t>
            </w:r>
            <w:proofErr w:type="spellEnd"/>
            <w:r w:rsidR="00F54BF1"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. Homeopathy 2012; </w:t>
            </w:r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101, 57e67. </w:t>
            </w:r>
          </w:p>
          <w:p w:rsidR="000819B3" w:rsidRPr="00F54BF1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Pr="00F54BF1" w:rsidRDefault="000819B3" w:rsidP="00AE4A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P.Bellavite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A. Conforti, M. Marzotto, P. Magnani, M.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Cristofoletti,D.Olioso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andM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E.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Zanolin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. Testing Homeopathy in</w:t>
            </w:r>
            <w:r w:rsid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Mouse Emotional Response</w:t>
            </w:r>
            <w:r w:rsid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Models:Pooled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 Data Analysis of Two Series of Studies. </w:t>
            </w:r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>Evidence-Based Complementary a</w:t>
            </w:r>
            <w:r w:rsidR="00F54BF1"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nd Alternative Medicine. </w:t>
            </w:r>
            <w:r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val="en-US" w:eastAsia="ko-KR"/>
              </w:rPr>
              <w:t xml:space="preserve">2012, Article ID 954374, 9 pages </w:t>
            </w:r>
          </w:p>
          <w:p w:rsidR="000819B3" w:rsidRPr="00F54BF1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Pr="00F54BF1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Pr="000819B3" w:rsidRDefault="000819B3" w:rsidP="00F54B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</w:pP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M. Balestrieri • M. Isola • G.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Bisoffi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S.Calo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` •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A.Conforti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L.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Driul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D.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Marchesoni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P.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Petrosemolo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•M. Rossi •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A.Zito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S.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Zorzenone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 G. Di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Sciascio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•R. Leone •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C.Bellantuono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: 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Determinants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of ante-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partumdepression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: a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multicenterstudy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SocPsychiatryPsychiatrEpidemiol</w:t>
            </w:r>
            <w:proofErr w:type="spellEnd"/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2012</w:t>
            </w:r>
            <w:r w:rsidR="00026082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;</w:t>
            </w:r>
            <w:r w:rsidR="00F54BF1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F54BF1" w:rsidRPr="00F54BF1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>47(12):1959-65</w:t>
            </w:r>
            <w:r w:rsidRPr="000819B3">
              <w:rPr>
                <w:rFonts w:ascii="Arial Narrow" w:hAnsi="Arial Narrow"/>
                <w:color w:val="000000" w:themeColor="text1"/>
                <w:sz w:val="20"/>
                <w:szCs w:val="20"/>
                <w:lang w:eastAsia="ko-KR"/>
              </w:rPr>
              <w:t xml:space="preserve"> . </w:t>
            </w:r>
          </w:p>
          <w:p w:rsidR="000819B3" w:rsidRPr="000819B3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  <w:lang w:val="it-IT"/>
              </w:rPr>
            </w:pPr>
          </w:p>
          <w:p w:rsidR="000819B3" w:rsidRPr="000819B3" w:rsidRDefault="000819B3" w:rsidP="00AE4A7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A.Conforti</w:t>
            </w:r>
            <w:proofErr w:type="spellEnd"/>
            <w:r w:rsidRPr="000819B3">
              <w:rPr>
                <w:rStyle w:val="A4"/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D.Costantini</w:t>
            </w:r>
            <w:proofErr w:type="spellEnd"/>
            <w:r w:rsidRPr="000819B3">
              <w:rPr>
                <w:rStyle w:val="A4"/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F.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Zanetti</w:t>
            </w:r>
            <w:proofErr w:type="spellEnd"/>
            <w:r w:rsidRPr="000819B3">
              <w:rPr>
                <w:rStyle w:val="A4"/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U.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Moretti</w:t>
            </w:r>
            <w:proofErr w:type="spellEnd"/>
            <w:r w:rsidRPr="000819B3">
              <w:rPr>
                <w:rStyle w:val="A4"/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M.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Grezzana</w:t>
            </w:r>
            <w:proofErr w:type="spellEnd"/>
            <w:r w:rsidRPr="000819B3">
              <w:rPr>
                <w:rStyle w:val="A4"/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R. Leone Adverse drug reactions in older patients: an Italian observational prospective hospital study  Drug, Healthcare and Patient Safety  </w:t>
            </w:r>
            <w:r w:rsidR="00F54BF1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2012; 4: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75 – 80 </w:t>
            </w:r>
          </w:p>
          <w:p w:rsidR="000819B3" w:rsidRPr="000819B3" w:rsidRDefault="000819B3" w:rsidP="00AE4A7E">
            <w:pPr>
              <w:pStyle w:val="Eaoaeaa"/>
              <w:rPr>
                <w:rFonts w:ascii="Arial Narrow" w:hAnsi="Arial Narrow"/>
                <w:color w:val="000000" w:themeColor="text1"/>
              </w:rPr>
            </w:pPr>
          </w:p>
          <w:p w:rsidR="000819B3" w:rsidRDefault="000819B3" w:rsidP="00AE4A7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Conforti A,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Opri</w:t>
            </w:r>
            <w:proofErr w:type="spellEnd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S, D'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Incau</w:t>
            </w:r>
            <w:proofErr w:type="spellEnd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P, et al.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Adverse Drug Reaction Reporting By Nurses: Analysis Of Italian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Pharmacovigilance</w:t>
            </w:r>
            <w:proofErr w:type="spellEnd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Database.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Pharmacoepidemiol</w:t>
            </w:r>
            <w:proofErr w:type="spellEnd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Drug</w:t>
            </w:r>
            <w:proofErr w:type="spellEnd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Saf</w:t>
            </w:r>
            <w:proofErr w:type="spellEnd"/>
            <w:r w:rsidR="00026082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0819B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2012; 21:597-602</w:t>
            </w:r>
          </w:p>
          <w:p w:rsidR="00F54BF1" w:rsidRDefault="00F54BF1" w:rsidP="00F54BF1">
            <w:pPr>
              <w:pStyle w:val="Paragrafoelenco"/>
              <w:rPr>
                <w:rFonts w:ascii="Arial Narrow" w:hAnsi="Arial Narrow"/>
                <w:color w:val="000000" w:themeColor="text1"/>
                <w:lang w:eastAsia="ko-KR"/>
              </w:rPr>
            </w:pPr>
          </w:p>
          <w:p w:rsidR="00F54BF1" w:rsidRDefault="00F54BF1" w:rsidP="00F54BF1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color w:val="000000" w:themeColor="text1"/>
                <w:lang w:val="it-IT" w:eastAsia="ko-KR"/>
              </w:rPr>
            </w:pPr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P. D’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Incau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 xml:space="preserve">, M. Donati, C.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Barbui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 xml:space="preserve">, A.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Carreri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 xml:space="preserve">, J. Tubini, A. Conforti : Eventi stressanti e psicofarmaci: Uno studio osservazionale condotto nelle farmacie territoriali della regione veneto . In: La medicina delle emozioni e delle cognizioni. Volume 51 di Salute e società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pp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 xml:space="preserve"> 181-190.  ED. </w:t>
            </w:r>
            <w:proofErr w:type="spellStart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>FrancoAngeli</w:t>
            </w:r>
            <w:proofErr w:type="spellEnd"/>
            <w:r w:rsidRPr="00F54BF1">
              <w:rPr>
                <w:rFonts w:ascii="Arial Narrow" w:hAnsi="Arial Narrow"/>
                <w:color w:val="000000" w:themeColor="text1"/>
                <w:lang w:val="it-IT" w:eastAsia="ko-KR"/>
              </w:rPr>
              <w:t xml:space="preserve">, 2012. </w:t>
            </w:r>
          </w:p>
          <w:p w:rsidR="005B1618" w:rsidRPr="00F54BF1" w:rsidRDefault="005B1618" w:rsidP="005B1618">
            <w:pPr>
              <w:pStyle w:val="Paragrafoelenco"/>
              <w:ind w:left="720"/>
              <w:rPr>
                <w:rFonts w:ascii="Arial Narrow" w:hAnsi="Arial Narrow"/>
                <w:color w:val="000000" w:themeColor="text1"/>
                <w:lang w:val="it-IT" w:eastAsia="ko-KR"/>
              </w:rPr>
            </w:pPr>
          </w:p>
          <w:p w:rsidR="005B1618" w:rsidRPr="00191FE7" w:rsidRDefault="005B1618" w:rsidP="00191FE7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R. Leone,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U.Moretti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P.D'Incau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A.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forti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L.Magro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, R. Lora, G.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Velo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: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Effect of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lastRenderedPageBreak/>
              <w:t xml:space="preserve">pharmacist involvement on patient reporting of adverse drug reactions: first Italian study. Drug Safety </w:t>
            </w:r>
            <w:r w:rsidR="00191FE7"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. 2013 Apr;36(4):267-76</w:t>
            </w:r>
          </w:p>
          <w:p w:rsidR="00191FE7" w:rsidRPr="005B1618" w:rsidRDefault="00191FE7" w:rsidP="00191FE7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026082" w:rsidRDefault="00026082" w:rsidP="00026082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Bellavite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P,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Olioso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D,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Marzotto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Moratti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 E,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A. A dynamic network model of the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similia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principle Complementary Therapies in Medicine 2013,  21( 6) 750–761 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.</w:t>
            </w:r>
          </w:p>
          <w:p w:rsidR="00026082" w:rsidRPr="00191FE7" w:rsidRDefault="00026082" w:rsidP="00026082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5B1618" w:rsidRDefault="005B1618" w:rsidP="00191FE7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D'Incau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P,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Lapeyre-Mestre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Carvajal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Donati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Salado I, Rodriguez L,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Sáinz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Escudero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A.No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differences between men and women in adverse drug reactions related to psychotropic drugs: a survey from France, Italy and Spain.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Fundam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Clin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Pharmacol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. </w:t>
            </w:r>
            <w:r w:rsidR="00191FE7"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2014 Jun;28(3):342-8</w:t>
            </w:r>
          </w:p>
          <w:p w:rsidR="00191FE7" w:rsidRPr="00191FE7" w:rsidRDefault="00191FE7" w:rsidP="00191FE7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bookmarkStart w:id="0" w:name="_GoBack"/>
            <w:bookmarkEnd w:id="0"/>
          </w:p>
          <w:p w:rsidR="005B1618" w:rsidRDefault="005B1618" w:rsidP="005B161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Lapeyre-Mestre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Gony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Carvajal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A, Macias D,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D'Incau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P,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Heerdink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R, Van der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Stichele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R, Bergman U. A European Community Pharmacy-Based Survey to Investigate Patterns of Prescription Fraud through Identification of Falsified Prescriptions.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Eur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Addict Res. 2014 Jan 16;20(4):174-182. </w:t>
            </w:r>
          </w:p>
          <w:p w:rsidR="005B1618" w:rsidRPr="005B1618" w:rsidRDefault="005B1618" w:rsidP="005B1618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5B1618" w:rsidRDefault="005B1618" w:rsidP="005B161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Bellavite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P, Marzotto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Olioso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D, Moratti E, Conforti A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. High-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dilution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effects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revisited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1. Physicochemical aspects.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Homeopathy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2014 Jan;103(1):4-21. </w:t>
            </w:r>
          </w:p>
          <w:p w:rsidR="005B1618" w:rsidRPr="005B1618" w:rsidRDefault="005B1618" w:rsidP="005B1618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</w:pPr>
          </w:p>
          <w:p w:rsidR="005B1618" w:rsidRDefault="005B1618" w:rsidP="005B161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Bellavite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P, Marzotto M,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Olioso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D, Moratti E, Conforti A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. High-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dilution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effects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revisited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1.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Pharmacodynamic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mechanisms.Homeopathy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. 2014 Jan;103(1):22-43</w:t>
            </w:r>
          </w:p>
          <w:p w:rsidR="005B1618" w:rsidRDefault="005B1618" w:rsidP="005B1618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5B1618" w:rsidRDefault="005B1618" w:rsidP="00191FE7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Caster O,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A, Viola E, Edwards IR Methylprednisolone-induced hepatotoxicity: experiences from global adverse drug reaction surveillance.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Eur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J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Clin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Pharmacol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. </w:t>
            </w:r>
            <w:r w:rsid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2014</w:t>
            </w:r>
            <w:r w:rsid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. </w:t>
            </w:r>
            <w:r w:rsidR="00191FE7"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Apr;70(4):501-3</w:t>
            </w:r>
          </w:p>
          <w:p w:rsidR="00191FE7" w:rsidRPr="005B1618" w:rsidRDefault="00191FE7" w:rsidP="00191FE7">
            <w:pPr>
              <w:pStyle w:val="Default"/>
              <w:ind w:left="720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</w:pPr>
          </w:p>
          <w:p w:rsidR="005B1618" w:rsidRPr="005B1618" w:rsidRDefault="005B1618" w:rsidP="005B1618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Viola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E,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Opri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S,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Moretti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U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Leone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R,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Casini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ML,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Ruggieri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S,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Minore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C, 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Conforti</w:t>
            </w:r>
            <w:proofErr w:type="spellEnd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 A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.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α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1-Adrenergic receptor antagonists and </w:t>
            </w:r>
            <w:proofErr w:type="spellStart"/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gy</w:t>
            </w:r>
            <w:r w:rsidRP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n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ecomastia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A case series from the Italian spontaneous reporting system and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>VigiBase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 w:eastAsia="ko-KR"/>
              </w:rPr>
              <w:t xml:space="preserve">™.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Eur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J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Clin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Pharmacol</w:t>
            </w:r>
            <w:proofErr w:type="spellEnd"/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="00191FE7"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2014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>Aug;70(8):1003-9</w:t>
            </w:r>
            <w:r w:rsidR="00191FE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5B1618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:rsidR="000819B3" w:rsidRPr="000819B3" w:rsidRDefault="000819B3" w:rsidP="005B1618">
            <w:pPr>
              <w:pStyle w:val="Eaoaeaa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</w:tr>
    </w:tbl>
    <w:p w:rsidR="000819B3" w:rsidRPr="000819B3" w:rsidRDefault="000819B3" w:rsidP="000E5FF9">
      <w:pPr>
        <w:pStyle w:val="Aaoeeu"/>
        <w:widowControl/>
        <w:spacing w:before="20" w:after="20"/>
        <w:rPr>
          <w:rFonts w:ascii="Arial Narrow" w:hAnsi="Arial Narrow"/>
          <w:color w:val="000000" w:themeColor="text1"/>
          <w:lang w:val="it-IT"/>
        </w:rPr>
      </w:pPr>
    </w:p>
    <w:p w:rsidR="00764D80" w:rsidRPr="00DD10B1" w:rsidRDefault="00764D80" w:rsidP="00BC3A49">
      <w:pPr>
        <w:rPr>
          <w:rFonts w:ascii="Arial Narrow" w:hAnsi="Arial Narrow"/>
        </w:rPr>
      </w:pPr>
    </w:p>
    <w:sectPr w:rsidR="00764D80" w:rsidRPr="00DD10B1" w:rsidSect="00B21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248"/>
    <w:multiLevelType w:val="singleLevel"/>
    <w:tmpl w:val="9B9632F4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lang w:val="en-US"/>
      </w:rPr>
    </w:lvl>
  </w:abstractNum>
  <w:abstractNum w:abstractNumId="1">
    <w:nsid w:val="7DC0079E"/>
    <w:multiLevelType w:val="hybridMultilevel"/>
    <w:tmpl w:val="B7EA2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F9"/>
    <w:rsid w:val="00026082"/>
    <w:rsid w:val="000819B3"/>
    <w:rsid w:val="000E5FF9"/>
    <w:rsid w:val="00191FE7"/>
    <w:rsid w:val="002A55A7"/>
    <w:rsid w:val="00373963"/>
    <w:rsid w:val="005B1618"/>
    <w:rsid w:val="007024C6"/>
    <w:rsid w:val="00731CB1"/>
    <w:rsid w:val="00764D80"/>
    <w:rsid w:val="00AE4A7E"/>
    <w:rsid w:val="00B2115C"/>
    <w:rsid w:val="00BC3A49"/>
    <w:rsid w:val="00DD10B1"/>
    <w:rsid w:val="00F54BF1"/>
    <w:rsid w:val="00FE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F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10B1"/>
    <w:pPr>
      <w:keepNext/>
      <w:outlineLvl w:val="0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E5FF9"/>
    <w:rPr>
      <w:b/>
      <w:bCs/>
      <w:sz w:val="20"/>
    </w:rPr>
  </w:style>
  <w:style w:type="paragraph" w:customStyle="1" w:styleId="Aaoeeu">
    <w:name w:val="Aaoeeu"/>
    <w:rsid w:val="000E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E5FF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E5FF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E5FF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E5FF9"/>
    <w:pPr>
      <w:jc w:val="right"/>
    </w:pPr>
    <w:rPr>
      <w:i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5F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5FF9"/>
    <w:rPr>
      <w:rFonts w:ascii="Arial" w:eastAsia="Times New Roman" w:hAnsi="Arial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FF9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D10B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10B1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D10B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D10B1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citation">
    <w:name w:val="citation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1">
    <w:name w:val="title1"/>
    <w:basedOn w:val="Normale"/>
    <w:rsid w:val="00DD10B1"/>
    <w:rPr>
      <w:rFonts w:ascii="Times New Roman" w:hAnsi="Times New Roman"/>
      <w:sz w:val="29"/>
      <w:szCs w:val="29"/>
    </w:rPr>
  </w:style>
  <w:style w:type="character" w:customStyle="1" w:styleId="src1">
    <w:name w:val="src1"/>
    <w:basedOn w:val="Carpredefinitoparagrafo"/>
    <w:rsid w:val="00DD10B1"/>
    <w:rPr>
      <w:vanish w:val="0"/>
      <w:webHidden w:val="0"/>
      <w:specVanish w:val="0"/>
    </w:rPr>
  </w:style>
  <w:style w:type="character" w:customStyle="1" w:styleId="jrnl">
    <w:name w:val="jrnl"/>
    <w:basedOn w:val="Carpredefinitoparagrafo"/>
    <w:rsid w:val="00DD10B1"/>
  </w:style>
  <w:style w:type="paragraph" w:customStyle="1" w:styleId="Titolo10">
    <w:name w:val="Titolo1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oogqs-tidbit1">
    <w:name w:val="goog_qs-tidbit1"/>
    <w:basedOn w:val="Carpredefinitoparagrafo"/>
    <w:rsid w:val="00DD10B1"/>
    <w:rPr>
      <w:vanish w:val="0"/>
      <w:webHidden w:val="0"/>
      <w:specVanish w:val="0"/>
    </w:rPr>
  </w:style>
  <w:style w:type="paragraph" w:styleId="Paragrafoelenco">
    <w:name w:val="List Paragraph"/>
    <w:basedOn w:val="Normale"/>
    <w:uiPriority w:val="34"/>
    <w:qFormat/>
    <w:rsid w:val="00DD10B1"/>
    <w:pPr>
      <w:ind w:left="708"/>
    </w:pPr>
    <w:rPr>
      <w:rFonts w:ascii="Times" w:hAnsi="Times"/>
      <w:sz w:val="20"/>
      <w:szCs w:val="20"/>
      <w:lang w:val="en-GB"/>
    </w:rPr>
  </w:style>
  <w:style w:type="paragraph" w:customStyle="1" w:styleId="Default">
    <w:name w:val="Default"/>
    <w:rsid w:val="00DD10B1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character" w:customStyle="1" w:styleId="A4">
    <w:name w:val="A4"/>
    <w:uiPriority w:val="99"/>
    <w:rsid w:val="00DD10B1"/>
    <w:rPr>
      <w:rFonts w:cs="Gill Sans MT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F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10B1"/>
    <w:pPr>
      <w:keepNext/>
      <w:outlineLvl w:val="0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E5FF9"/>
    <w:rPr>
      <w:b/>
      <w:bCs/>
      <w:sz w:val="20"/>
    </w:rPr>
  </w:style>
  <w:style w:type="paragraph" w:customStyle="1" w:styleId="Aaoeeu">
    <w:name w:val="Aaoeeu"/>
    <w:rsid w:val="000E5F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E5FF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E5FF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E5FF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E5FF9"/>
    <w:pPr>
      <w:jc w:val="right"/>
    </w:pPr>
    <w:rPr>
      <w:i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5F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5FF9"/>
    <w:rPr>
      <w:rFonts w:ascii="Arial" w:eastAsia="Times New Roman" w:hAnsi="Arial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FF9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D10B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10B1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D10B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D10B1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citation">
    <w:name w:val="citation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1">
    <w:name w:val="title1"/>
    <w:basedOn w:val="Normale"/>
    <w:rsid w:val="00DD10B1"/>
    <w:rPr>
      <w:rFonts w:ascii="Times New Roman" w:hAnsi="Times New Roman"/>
      <w:sz w:val="29"/>
      <w:szCs w:val="29"/>
    </w:rPr>
  </w:style>
  <w:style w:type="character" w:customStyle="1" w:styleId="src1">
    <w:name w:val="src1"/>
    <w:basedOn w:val="Carpredefinitoparagrafo"/>
    <w:rsid w:val="00DD10B1"/>
    <w:rPr>
      <w:vanish w:val="0"/>
      <w:webHidden w:val="0"/>
      <w:specVanish w:val="0"/>
    </w:rPr>
  </w:style>
  <w:style w:type="character" w:customStyle="1" w:styleId="jrnl">
    <w:name w:val="jrnl"/>
    <w:basedOn w:val="Carpredefinitoparagrafo"/>
    <w:rsid w:val="00DD10B1"/>
  </w:style>
  <w:style w:type="paragraph" w:customStyle="1" w:styleId="Titolo10">
    <w:name w:val="Titolo1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e"/>
    <w:rsid w:val="00DD10B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oogqs-tidbit1">
    <w:name w:val="goog_qs-tidbit1"/>
    <w:basedOn w:val="Carpredefinitoparagrafo"/>
    <w:rsid w:val="00DD10B1"/>
    <w:rPr>
      <w:vanish w:val="0"/>
      <w:webHidden w:val="0"/>
      <w:specVanish w:val="0"/>
    </w:rPr>
  </w:style>
  <w:style w:type="paragraph" w:styleId="Paragrafoelenco">
    <w:name w:val="List Paragraph"/>
    <w:basedOn w:val="Normale"/>
    <w:uiPriority w:val="34"/>
    <w:qFormat/>
    <w:rsid w:val="00DD10B1"/>
    <w:pPr>
      <w:ind w:left="708"/>
    </w:pPr>
    <w:rPr>
      <w:rFonts w:ascii="Times" w:hAnsi="Times"/>
      <w:sz w:val="20"/>
      <w:szCs w:val="20"/>
      <w:lang w:val="en-GB"/>
    </w:rPr>
  </w:style>
  <w:style w:type="paragraph" w:customStyle="1" w:styleId="Default">
    <w:name w:val="Default"/>
    <w:rsid w:val="00DD10B1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character" w:customStyle="1" w:styleId="A4">
    <w:name w:val="A4"/>
    <w:uiPriority w:val="99"/>
    <w:rsid w:val="00DD10B1"/>
    <w:rPr>
      <w:rFonts w:cs="Gill Sans M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5390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215362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16FB-5F0E-4EC1-A8A2-66EB1285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Linda</cp:lastModifiedBy>
  <cp:revision>2</cp:revision>
  <dcterms:created xsi:type="dcterms:W3CDTF">2014-07-11T10:21:00Z</dcterms:created>
  <dcterms:modified xsi:type="dcterms:W3CDTF">2014-07-11T10:21:00Z</dcterms:modified>
</cp:coreProperties>
</file>