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0B" w:rsidRPr="001E1D0B" w:rsidRDefault="001E1D0B" w:rsidP="001E1D0B">
      <w:pPr>
        <w:spacing w:line="240" w:lineRule="auto"/>
        <w:jc w:val="center"/>
        <w:rPr>
          <w:rFonts w:asciiTheme="majorHAnsi" w:hAnsiTheme="majorHAnsi"/>
          <w:bCs/>
          <w:sz w:val="28"/>
          <w:szCs w:val="28"/>
          <w:lang w:val="it-IT"/>
        </w:rPr>
      </w:pPr>
      <w:r w:rsidRPr="001E1D0B">
        <w:rPr>
          <w:rFonts w:asciiTheme="majorHAnsi" w:hAnsiTheme="majorHAnsi"/>
          <w:bCs/>
          <w:sz w:val="28"/>
          <w:szCs w:val="28"/>
          <w:lang w:val="it-IT"/>
        </w:rPr>
        <w:t xml:space="preserve">Storia comparata delle lingue classiche – Linguistica storica </w:t>
      </w:r>
      <w:proofErr w:type="spellStart"/>
      <w:proofErr w:type="gramStart"/>
      <w:r w:rsidRPr="001E1D0B">
        <w:rPr>
          <w:rFonts w:asciiTheme="majorHAnsi" w:hAnsiTheme="majorHAnsi"/>
          <w:bCs/>
          <w:sz w:val="28"/>
          <w:szCs w:val="28"/>
          <w:lang w:val="it-IT"/>
        </w:rPr>
        <w:t>a.a</w:t>
      </w:r>
      <w:proofErr w:type="spellEnd"/>
      <w:r w:rsidRPr="001E1D0B">
        <w:rPr>
          <w:rFonts w:asciiTheme="majorHAnsi" w:hAnsiTheme="majorHAnsi"/>
          <w:bCs/>
          <w:sz w:val="28"/>
          <w:szCs w:val="28"/>
          <w:lang w:val="it-IT"/>
        </w:rPr>
        <w:t>.</w:t>
      </w:r>
      <w:proofErr w:type="gramEnd"/>
      <w:r w:rsidRPr="001E1D0B">
        <w:rPr>
          <w:rFonts w:asciiTheme="majorHAnsi" w:hAnsiTheme="majorHAnsi"/>
          <w:bCs/>
          <w:sz w:val="28"/>
          <w:szCs w:val="28"/>
          <w:lang w:val="it-IT"/>
        </w:rPr>
        <w:t xml:space="preserve"> 2011-2012</w:t>
      </w:r>
    </w:p>
    <w:p w:rsidR="001E1D0B" w:rsidRPr="001E1D0B" w:rsidRDefault="001E1D0B" w:rsidP="001E1D0B">
      <w:pPr>
        <w:spacing w:line="240" w:lineRule="auto"/>
        <w:jc w:val="center"/>
        <w:rPr>
          <w:rFonts w:asciiTheme="majorHAnsi" w:hAnsiTheme="majorHAnsi"/>
          <w:bCs/>
          <w:sz w:val="28"/>
          <w:szCs w:val="28"/>
          <w:lang w:val="it-IT"/>
        </w:rPr>
      </w:pPr>
      <w:r w:rsidRPr="001E1D0B">
        <w:rPr>
          <w:rFonts w:asciiTheme="majorHAnsi" w:hAnsiTheme="majorHAnsi"/>
          <w:bCs/>
          <w:sz w:val="28"/>
          <w:szCs w:val="28"/>
          <w:lang w:val="it-IT"/>
        </w:rPr>
        <w:t xml:space="preserve">Prof. Paola </w:t>
      </w:r>
      <w:proofErr w:type="spellStart"/>
      <w:r w:rsidRPr="001E1D0B">
        <w:rPr>
          <w:rFonts w:asciiTheme="majorHAnsi" w:hAnsiTheme="majorHAnsi"/>
          <w:bCs/>
          <w:sz w:val="28"/>
          <w:szCs w:val="28"/>
          <w:lang w:val="it-IT"/>
        </w:rPr>
        <w:t>Cotticelli</w:t>
      </w:r>
      <w:proofErr w:type="spellEnd"/>
    </w:p>
    <w:p w:rsidR="001E1D0B" w:rsidRPr="001E1D0B" w:rsidRDefault="001E1D0B" w:rsidP="001E1D0B">
      <w:pPr>
        <w:spacing w:line="240" w:lineRule="auto"/>
        <w:jc w:val="center"/>
        <w:rPr>
          <w:rFonts w:asciiTheme="majorHAnsi" w:hAnsiTheme="majorHAnsi"/>
          <w:i/>
          <w:sz w:val="28"/>
          <w:szCs w:val="28"/>
          <w:lang w:val="it-IT"/>
        </w:rPr>
      </w:pPr>
      <w:r w:rsidRPr="001E1D0B">
        <w:rPr>
          <w:rFonts w:asciiTheme="majorHAnsi" w:hAnsiTheme="majorHAnsi"/>
          <w:bCs/>
          <w:i/>
          <w:sz w:val="28"/>
          <w:szCs w:val="28"/>
          <w:lang w:val="it-IT"/>
        </w:rPr>
        <w:t>Le mappe semantiche</w:t>
      </w:r>
    </w:p>
    <w:p w:rsidR="001E1D0B" w:rsidRDefault="001E1D0B" w:rsidP="001A5947">
      <w:pPr>
        <w:rPr>
          <w:b/>
          <w:lang w:val="it-IT"/>
        </w:rPr>
      </w:pPr>
    </w:p>
    <w:p w:rsidR="001A5947" w:rsidRPr="001A5947" w:rsidRDefault="001A5947" w:rsidP="001A5947">
      <w:pPr>
        <w:rPr>
          <w:b/>
          <w:lang w:val="it-IT"/>
        </w:rPr>
      </w:pPr>
      <w:r w:rsidRPr="001A5947">
        <w:rPr>
          <w:b/>
          <w:lang w:val="it-IT"/>
        </w:rPr>
        <w:t>OBIETTIVI FORMATIVI</w:t>
      </w:r>
    </w:p>
    <w:p w:rsidR="001A5947" w:rsidRDefault="001A5947" w:rsidP="001A5947">
      <w:pPr>
        <w:rPr>
          <w:lang w:val="it-IT"/>
        </w:rPr>
      </w:pPr>
      <w:proofErr w:type="gramStart"/>
      <w:r w:rsidRPr="001A5947">
        <w:rPr>
          <w:lang w:val="it-IT"/>
        </w:rPr>
        <w:t>Presentazione dei principali concetti del mutamento linguistico in chiave diacronica con approfondimento di alcune delle principali teorie l</w:t>
      </w:r>
      <w:proofErr w:type="gramEnd"/>
      <w:r w:rsidRPr="001A5947">
        <w:rPr>
          <w:lang w:val="it-IT"/>
        </w:rPr>
        <w:t xml:space="preserve">inguistiche. In particolare </w:t>
      </w:r>
      <w:proofErr w:type="gramStart"/>
      <w:r w:rsidRPr="001A5947">
        <w:rPr>
          <w:lang w:val="it-IT"/>
        </w:rPr>
        <w:t>verranno</w:t>
      </w:r>
      <w:proofErr w:type="gramEnd"/>
      <w:r w:rsidRPr="001A5947">
        <w:rPr>
          <w:lang w:val="it-IT"/>
        </w:rPr>
        <w:t xml:space="preserve"> approfonditi argomenti di carattere semantico. Particolare attenzione </w:t>
      </w:r>
      <w:proofErr w:type="gramStart"/>
      <w:r w:rsidRPr="001A5947">
        <w:rPr>
          <w:lang w:val="it-IT"/>
        </w:rPr>
        <w:t>verrà</w:t>
      </w:r>
      <w:proofErr w:type="gramEnd"/>
      <w:r w:rsidRPr="001A5947">
        <w:rPr>
          <w:lang w:val="it-IT"/>
        </w:rPr>
        <w:t xml:space="preserve"> data alle teorie relative alle mappe semantiche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 xml:space="preserve">L’insegnamento è in stretto collegamento per i suoi contenuti sia con i curricula imperniati sugli insegnamenti specificamente relativi </w:t>
      </w:r>
      <w:proofErr w:type="gramStart"/>
      <w:r w:rsidRPr="001A5947">
        <w:rPr>
          <w:lang w:val="it-IT"/>
        </w:rPr>
        <w:t>alle lingue latina e greca</w:t>
      </w:r>
      <w:proofErr w:type="gramEnd"/>
      <w:r w:rsidRPr="001A5947">
        <w:rPr>
          <w:lang w:val="it-IT"/>
        </w:rPr>
        <w:t xml:space="preserve"> nonché con il corso di </w:t>
      </w:r>
      <w:r w:rsidRPr="001A5947">
        <w:rPr>
          <w:i/>
          <w:iCs/>
          <w:lang w:val="it-IT"/>
        </w:rPr>
        <w:t xml:space="preserve">Glottologia, </w:t>
      </w:r>
      <w:r w:rsidRPr="001A5947">
        <w:rPr>
          <w:lang w:val="it-IT"/>
        </w:rPr>
        <w:t xml:space="preserve">sia anche con il corso magistrale di </w:t>
      </w:r>
      <w:r w:rsidRPr="001A5947">
        <w:rPr>
          <w:i/>
          <w:iCs/>
          <w:lang w:val="it-IT"/>
        </w:rPr>
        <w:t>Linguistica storica</w:t>
      </w:r>
      <w:r w:rsidRPr="001A5947">
        <w:rPr>
          <w:lang w:val="it-IT"/>
        </w:rPr>
        <w:t xml:space="preserve"> e lo studio di lingue indoeuropee moderne.</w:t>
      </w:r>
    </w:p>
    <w:p w:rsidR="001A5947" w:rsidRPr="001A5947" w:rsidRDefault="001A5947" w:rsidP="001A5947">
      <w:pPr>
        <w:rPr>
          <w:i/>
          <w:iCs/>
          <w:lang w:val="en-US"/>
        </w:rPr>
      </w:pPr>
      <w:r w:rsidRPr="001A5947">
        <w:rPr>
          <w:i/>
          <w:iCs/>
          <w:lang w:val="en-US"/>
        </w:rPr>
        <w:t>The course of Comparative Grammar of the Indo-European Languages describes the main developments within the linguistic change on the four language levels of the Indo-European Languages. In particular, the morphological level will constitute the focus of the course dealing specifically with the theory of semantics maps.</w:t>
      </w:r>
    </w:p>
    <w:p w:rsidR="001A5947" w:rsidRPr="001A5947" w:rsidRDefault="001A5947" w:rsidP="001A5947">
      <w:pPr>
        <w:rPr>
          <w:lang w:val="en-US"/>
        </w:rPr>
      </w:pPr>
    </w:p>
    <w:p w:rsidR="001A5947" w:rsidRPr="001A5947" w:rsidRDefault="001A5947" w:rsidP="001A5947">
      <w:pPr>
        <w:rPr>
          <w:lang w:val="it-IT"/>
        </w:rPr>
      </w:pPr>
      <w:r w:rsidRPr="001A5947">
        <w:rPr>
          <w:b/>
          <w:lang w:val="it-IT"/>
        </w:rPr>
        <w:t>PROGRAMMA</w:t>
      </w:r>
    </w:p>
    <w:p w:rsidR="001A5947" w:rsidRPr="001A5947" w:rsidRDefault="001A5947" w:rsidP="001A5947">
      <w:pPr>
        <w:rPr>
          <w:lang w:val="it-IT"/>
        </w:rPr>
      </w:pPr>
      <w:proofErr w:type="gramStart"/>
      <w:r w:rsidRPr="001A5947">
        <w:rPr>
          <w:lang w:val="it-IT"/>
        </w:rPr>
        <w:t>Metodi, prospettive e livelli di analisi della linguistica storica alla luce delle lingue indoeuropee antiche e moderne, con particolare rig</w:t>
      </w:r>
      <w:proofErr w:type="gramEnd"/>
      <w:r w:rsidRPr="001A5947">
        <w:rPr>
          <w:lang w:val="it-IT"/>
        </w:rPr>
        <w:t xml:space="preserve">uardo all’argomento delle mappe semantiche. Letture di testi e discussione scientifica in prospettiva comparatistica. 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>Articolazione interna:</w:t>
      </w:r>
      <w:r w:rsidRPr="001A5947">
        <w:rPr>
          <w:lang w:val="it-IT"/>
        </w:rPr>
        <w:tab/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>Modulo I: Nozioni base della linguistica storica: Il mutamento linguistico (18 ore</w:t>
      </w:r>
      <w:proofErr w:type="gramStart"/>
      <w:r w:rsidRPr="001A5947">
        <w:rPr>
          <w:lang w:val="it-IT"/>
        </w:rPr>
        <w:t>)</w:t>
      </w:r>
      <w:proofErr w:type="gramEnd"/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 xml:space="preserve">Modulo II: Approfondimento dei problemi </w:t>
      </w:r>
      <w:proofErr w:type="gramStart"/>
      <w:r w:rsidRPr="001A5947">
        <w:rPr>
          <w:lang w:val="it-IT"/>
        </w:rPr>
        <w:t>relativi al</w:t>
      </w:r>
      <w:proofErr w:type="gramEnd"/>
      <w:r w:rsidRPr="001A5947">
        <w:rPr>
          <w:lang w:val="it-IT"/>
        </w:rPr>
        <w:t xml:space="preserve"> mutamento semantico: teorie delle mappe semantiche illustrate con esempi da lingue antiche e lingue moderne  (36 ore, mutuato dal corso di Storia comparata delle lingue classiche per Lettere). 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b/>
          <w:lang w:val="it-IT"/>
        </w:rPr>
        <w:t>Bibliografia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 xml:space="preserve">1.) 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 xml:space="preserve">LAZZERONI R. (1987). Il mutamento linguistico. In: Lazzeroni, R. (a cura di) Linguistica Storica, pp. 13-54. Roma: La Nuova Italia Scientifica. 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 xml:space="preserve">LEHMANN, </w:t>
      </w:r>
      <w:proofErr w:type="gramStart"/>
      <w:r w:rsidRPr="001A5947">
        <w:rPr>
          <w:lang w:val="it-IT"/>
        </w:rPr>
        <w:t>W.P.</w:t>
      </w:r>
      <w:proofErr w:type="gramEnd"/>
      <w:r w:rsidRPr="001A5947">
        <w:rPr>
          <w:lang w:val="it-IT"/>
        </w:rPr>
        <w:t>, (1992), Linguistica storica, (</w:t>
      </w:r>
      <w:proofErr w:type="spellStart"/>
      <w:r w:rsidRPr="001A5947">
        <w:rPr>
          <w:lang w:val="it-IT"/>
        </w:rPr>
        <w:t>Trad</w:t>
      </w:r>
      <w:proofErr w:type="spellEnd"/>
      <w:r w:rsidRPr="001A5947">
        <w:rPr>
          <w:lang w:val="it-IT"/>
        </w:rPr>
        <w:t xml:space="preserve">. </w:t>
      </w:r>
      <w:proofErr w:type="spellStart"/>
      <w:r w:rsidRPr="001A5947">
        <w:rPr>
          <w:lang w:val="it-IT"/>
        </w:rPr>
        <w:t>it</w:t>
      </w:r>
      <w:proofErr w:type="spellEnd"/>
      <w:r w:rsidRPr="001A5947">
        <w:rPr>
          <w:lang w:val="it-IT"/>
        </w:rPr>
        <w:t>.) capitoli sul mutamento semantico, sintattico e morfologico, Bologna: Mulino</w:t>
      </w:r>
      <w:r w:rsidR="007956EE">
        <w:rPr>
          <w:lang w:val="it-IT"/>
        </w:rPr>
        <w:t>.</w:t>
      </w:r>
    </w:p>
    <w:p w:rsidR="001A5947" w:rsidRPr="001A5947" w:rsidRDefault="001A5947" w:rsidP="001A5947">
      <w:pPr>
        <w:rPr>
          <w:lang w:val="en-GB"/>
        </w:rPr>
      </w:pPr>
      <w:r w:rsidRPr="001A5947">
        <w:rPr>
          <w:lang w:val="it-IT"/>
        </w:rPr>
        <w:t xml:space="preserve">MANCINI, Marco (a cura di), Il cambiamento linguistico (2000). </w:t>
      </w:r>
      <w:r w:rsidRPr="001A5947">
        <w:rPr>
          <w:lang w:val="en-GB"/>
        </w:rPr>
        <w:t xml:space="preserve">Roma: </w:t>
      </w:r>
      <w:proofErr w:type="spellStart"/>
      <w:r w:rsidRPr="001A5947">
        <w:rPr>
          <w:lang w:val="en-GB"/>
        </w:rPr>
        <w:t>Carocci</w:t>
      </w:r>
      <w:proofErr w:type="spellEnd"/>
      <w:r w:rsidR="007956EE">
        <w:rPr>
          <w:lang w:val="en-GB"/>
        </w:rPr>
        <w:t>.</w:t>
      </w:r>
      <w:r w:rsidRPr="001A5947">
        <w:rPr>
          <w:lang w:val="en-GB"/>
        </w:rPr>
        <w:t xml:space="preserve"> </w:t>
      </w:r>
    </w:p>
    <w:p w:rsidR="001A5947" w:rsidRPr="001A5947" w:rsidRDefault="001A5947" w:rsidP="001A5947">
      <w:pPr>
        <w:rPr>
          <w:lang w:val="en-US"/>
        </w:rPr>
      </w:pPr>
      <w:r w:rsidRPr="001A5947">
        <w:rPr>
          <w:lang w:val="en-US"/>
        </w:rPr>
        <w:lastRenderedPageBreak/>
        <w:t xml:space="preserve">2.) </w:t>
      </w:r>
    </w:p>
    <w:p w:rsidR="001A5947" w:rsidRPr="001A5947" w:rsidRDefault="001A5947" w:rsidP="001A5947">
      <w:pPr>
        <w:rPr>
          <w:lang w:val="en-US"/>
        </w:rPr>
      </w:pPr>
      <w:proofErr w:type="gramStart"/>
      <w:r w:rsidRPr="001A5947">
        <w:rPr>
          <w:lang w:val="en-US"/>
        </w:rPr>
        <w:t>HASPELMATH, M. (2003).</w:t>
      </w:r>
      <w:proofErr w:type="gramEnd"/>
      <w:r w:rsidRPr="001A5947">
        <w:rPr>
          <w:lang w:val="en-US"/>
        </w:rPr>
        <w:t xml:space="preserve"> </w:t>
      </w:r>
      <w:r w:rsidR="007956EE">
        <w:rPr>
          <w:lang w:val="en-US"/>
        </w:rPr>
        <w:t>“</w:t>
      </w:r>
      <w:r w:rsidRPr="001A5947">
        <w:rPr>
          <w:lang w:val="en-US"/>
        </w:rPr>
        <w:t>The Geometry of Grammatical Meaning: Semantic Maps</w:t>
      </w:r>
      <w:r w:rsidR="001E1D0B">
        <w:rPr>
          <w:lang w:val="en-US"/>
        </w:rPr>
        <w:t xml:space="preserve"> </w:t>
      </w:r>
      <w:r w:rsidRPr="001A5947">
        <w:rPr>
          <w:lang w:val="en-US"/>
        </w:rPr>
        <w:t>and Cross-Linguistic Comparison</w:t>
      </w:r>
      <w:r w:rsidR="007956EE">
        <w:rPr>
          <w:lang w:val="en-US"/>
        </w:rPr>
        <w:t>”</w:t>
      </w:r>
      <w:r w:rsidRPr="001A5947">
        <w:rPr>
          <w:lang w:val="en-US"/>
        </w:rPr>
        <w:t>. In</w:t>
      </w:r>
      <w:r w:rsidR="007956EE">
        <w:rPr>
          <w:lang w:val="en-US"/>
        </w:rPr>
        <w:t xml:space="preserve"> M. </w:t>
      </w:r>
      <w:proofErr w:type="spellStart"/>
      <w:r w:rsidR="007956EE">
        <w:rPr>
          <w:lang w:val="en-US"/>
        </w:rPr>
        <w:t>Tomasello</w:t>
      </w:r>
      <w:proofErr w:type="spellEnd"/>
      <w:r w:rsidR="007956EE">
        <w:rPr>
          <w:lang w:val="en-US"/>
        </w:rPr>
        <w:t xml:space="preserve"> (Ed.), </w:t>
      </w:r>
      <w:proofErr w:type="gramStart"/>
      <w:r w:rsidR="007956EE" w:rsidRPr="007956EE">
        <w:rPr>
          <w:i/>
          <w:lang w:val="en-US"/>
        </w:rPr>
        <w:t>The</w:t>
      </w:r>
      <w:proofErr w:type="gramEnd"/>
      <w:r w:rsidR="007956EE" w:rsidRPr="007956EE">
        <w:rPr>
          <w:i/>
          <w:lang w:val="en-US"/>
        </w:rPr>
        <w:t xml:space="preserve"> New Psy</w:t>
      </w:r>
      <w:r w:rsidRPr="007956EE">
        <w:rPr>
          <w:i/>
          <w:lang w:val="en-US"/>
        </w:rPr>
        <w:t>chology of</w:t>
      </w:r>
      <w:r w:rsidR="001E1D0B" w:rsidRPr="007956EE">
        <w:rPr>
          <w:i/>
          <w:lang w:val="en-US"/>
        </w:rPr>
        <w:t xml:space="preserve"> </w:t>
      </w:r>
      <w:r w:rsidRPr="007956EE">
        <w:rPr>
          <w:i/>
          <w:lang w:val="en-US"/>
        </w:rPr>
        <w:t>Language</w:t>
      </w:r>
      <w:r w:rsidR="007956EE">
        <w:rPr>
          <w:lang w:val="en-US"/>
        </w:rPr>
        <w:t xml:space="preserve"> 2, </w:t>
      </w:r>
      <w:r w:rsidRPr="001A5947">
        <w:rPr>
          <w:lang w:val="en-US"/>
        </w:rPr>
        <w:t>217–42. Mahwah, N.J. and London: Erlbaum.</w:t>
      </w:r>
    </w:p>
    <w:p w:rsidR="001A5947" w:rsidRDefault="001A5947" w:rsidP="001A5947">
      <w:pPr>
        <w:rPr>
          <w:lang w:val="en-US"/>
        </w:rPr>
      </w:pPr>
      <w:proofErr w:type="gramStart"/>
      <w:r w:rsidRPr="001A5947">
        <w:rPr>
          <w:lang w:val="en-US"/>
        </w:rPr>
        <w:t>van</w:t>
      </w:r>
      <w:proofErr w:type="gramEnd"/>
      <w:r w:rsidRPr="001A5947">
        <w:rPr>
          <w:lang w:val="en-US"/>
        </w:rPr>
        <w:t xml:space="preserve"> der AUWERA, Johan and Vladimir A. </w:t>
      </w:r>
      <w:proofErr w:type="spellStart"/>
      <w:r w:rsidRPr="001A5947">
        <w:rPr>
          <w:lang w:val="en-US"/>
        </w:rPr>
        <w:t>Plungian</w:t>
      </w:r>
      <w:proofErr w:type="spellEnd"/>
      <w:r w:rsidRPr="001A5947">
        <w:rPr>
          <w:lang w:val="en-US"/>
        </w:rPr>
        <w:t xml:space="preserve"> (1998). </w:t>
      </w:r>
      <w:proofErr w:type="gramStart"/>
      <w:r w:rsidR="007956EE">
        <w:rPr>
          <w:lang w:val="en-US"/>
        </w:rPr>
        <w:t>“</w:t>
      </w:r>
      <w:r w:rsidRPr="001A5947">
        <w:rPr>
          <w:lang w:val="en-US"/>
        </w:rPr>
        <w:t>Modality’s semantic map</w:t>
      </w:r>
      <w:r w:rsidR="007956EE">
        <w:rPr>
          <w:lang w:val="en-US"/>
        </w:rPr>
        <w:t>”</w:t>
      </w:r>
      <w:r w:rsidRPr="001A5947">
        <w:rPr>
          <w:lang w:val="en-US"/>
        </w:rPr>
        <w:t>.</w:t>
      </w:r>
      <w:proofErr w:type="gramEnd"/>
      <w:r w:rsidRPr="001A5947">
        <w:rPr>
          <w:lang w:val="en-US"/>
        </w:rPr>
        <w:t xml:space="preserve"> </w:t>
      </w:r>
      <w:r w:rsidRPr="007956EE">
        <w:rPr>
          <w:i/>
          <w:lang w:val="en-US"/>
        </w:rPr>
        <w:t>Linguistic Typology</w:t>
      </w:r>
      <w:r w:rsidR="007956EE">
        <w:rPr>
          <w:lang w:val="en-US"/>
        </w:rPr>
        <w:t xml:space="preserve"> 2</w:t>
      </w:r>
      <w:r w:rsidRPr="001A5947">
        <w:rPr>
          <w:lang w:val="en-US"/>
        </w:rPr>
        <w:t>, 79–124.</w:t>
      </w:r>
    </w:p>
    <w:p w:rsidR="00971BEC" w:rsidRPr="00971BEC" w:rsidRDefault="007956EE" w:rsidP="00971BEC">
      <w:pPr>
        <w:rPr>
          <w:i/>
          <w:iCs/>
          <w:lang w:val="en-GB"/>
        </w:rPr>
      </w:pPr>
      <w:r>
        <w:rPr>
          <w:lang w:val="en-US"/>
        </w:rPr>
        <w:t xml:space="preserve">JANDA, L. </w:t>
      </w:r>
      <w:bookmarkStart w:id="0" w:name="_GoBack"/>
      <w:bookmarkEnd w:id="0"/>
      <w:r w:rsidR="00971BEC" w:rsidRPr="00971BEC">
        <w:rPr>
          <w:i/>
          <w:iCs/>
          <w:lang w:val="en-GB"/>
        </w:rPr>
        <w:t xml:space="preserve"> </w:t>
      </w:r>
      <w:proofErr w:type="gramStart"/>
      <w:r w:rsidR="00971BEC" w:rsidRPr="00971BEC">
        <w:rPr>
          <w:i/>
          <w:iCs/>
          <w:lang w:val="en-GB"/>
        </w:rPr>
        <w:t>forthcoming</w:t>
      </w:r>
      <w:proofErr w:type="gramEnd"/>
      <w:r w:rsidR="00971BEC" w:rsidRPr="00971BEC">
        <w:rPr>
          <w:i/>
          <w:iCs/>
          <w:lang w:val="en-GB"/>
        </w:rPr>
        <w:t xml:space="preserve">. </w:t>
      </w:r>
      <w:hyperlink r:id="rId5" w:history="1">
        <w:r w:rsidR="00971BEC" w:rsidRPr="00971BEC">
          <w:rPr>
            <w:rStyle w:val="Hyperlink"/>
            <w:i/>
            <w:iCs/>
            <w:lang w:val="en-GB"/>
          </w:rPr>
          <w:t>"What is the role of semantic maps in cognitive linguistics?"</w:t>
        </w:r>
      </w:hyperlink>
      <w:proofErr w:type="gramStart"/>
      <w:r w:rsidR="00971BEC" w:rsidRPr="00971BEC">
        <w:rPr>
          <w:i/>
          <w:iCs/>
          <w:lang w:val="en-GB"/>
        </w:rPr>
        <w:t>,</w:t>
      </w:r>
      <w:proofErr w:type="gramEnd"/>
      <w:r w:rsidR="00971BEC" w:rsidRPr="00971BEC">
        <w:rPr>
          <w:i/>
          <w:iCs/>
          <w:lang w:val="en-GB"/>
        </w:rPr>
        <w:t xml:space="preserve"> to appear in a festschrift for Barbara </w:t>
      </w:r>
      <w:proofErr w:type="spellStart"/>
      <w:r w:rsidR="00971BEC" w:rsidRPr="00971BEC">
        <w:rPr>
          <w:i/>
          <w:iCs/>
          <w:lang w:val="en-GB"/>
        </w:rPr>
        <w:t>Lewandowska-Tomaszczyk</w:t>
      </w:r>
      <w:proofErr w:type="spellEnd"/>
      <w:r w:rsidR="00971BEC" w:rsidRPr="00971BEC">
        <w:rPr>
          <w:i/>
          <w:iCs/>
          <w:lang w:val="en-GB"/>
        </w:rPr>
        <w:t xml:space="preserve">, ed. by </w:t>
      </w:r>
      <w:proofErr w:type="spellStart"/>
      <w:r w:rsidR="00971BEC" w:rsidRPr="00971BEC">
        <w:rPr>
          <w:i/>
          <w:iCs/>
          <w:lang w:val="en-GB"/>
        </w:rPr>
        <w:t>Piotr</w:t>
      </w:r>
      <w:proofErr w:type="spellEnd"/>
      <w:r w:rsidR="00971BEC" w:rsidRPr="00971BEC">
        <w:rPr>
          <w:i/>
          <w:iCs/>
          <w:lang w:val="en-GB"/>
        </w:rPr>
        <w:t xml:space="preserve"> </w:t>
      </w:r>
      <w:proofErr w:type="spellStart"/>
      <w:r w:rsidR="00971BEC" w:rsidRPr="00971BEC">
        <w:rPr>
          <w:i/>
          <w:iCs/>
          <w:lang w:val="en-GB"/>
        </w:rPr>
        <w:t>Stalmaszczyk</w:t>
      </w:r>
      <w:proofErr w:type="spellEnd"/>
      <w:r w:rsidR="00971BEC" w:rsidRPr="00971BEC">
        <w:rPr>
          <w:i/>
          <w:iCs/>
          <w:lang w:val="en-GB"/>
        </w:rPr>
        <w:t xml:space="preserve"> and </w:t>
      </w:r>
      <w:proofErr w:type="spellStart"/>
      <w:r w:rsidR="00971BEC" w:rsidRPr="00971BEC">
        <w:rPr>
          <w:i/>
          <w:iCs/>
          <w:lang w:val="en-GB"/>
        </w:rPr>
        <w:t>Wieslaw</w:t>
      </w:r>
      <w:proofErr w:type="spellEnd"/>
      <w:r w:rsidR="00971BEC" w:rsidRPr="00971BEC">
        <w:rPr>
          <w:i/>
          <w:iCs/>
          <w:lang w:val="en-GB"/>
        </w:rPr>
        <w:t xml:space="preserve"> </w:t>
      </w:r>
      <w:proofErr w:type="spellStart"/>
      <w:r w:rsidR="00971BEC" w:rsidRPr="00971BEC">
        <w:rPr>
          <w:i/>
          <w:iCs/>
          <w:lang w:val="en-GB"/>
        </w:rPr>
        <w:t>Oleksy</w:t>
      </w:r>
      <w:proofErr w:type="spellEnd"/>
      <w:r w:rsidR="00971BEC" w:rsidRPr="00971BEC">
        <w:rPr>
          <w:i/>
          <w:iCs/>
          <w:lang w:val="en-GB"/>
        </w:rPr>
        <w:t>, 16pp.</w:t>
      </w:r>
    </w:p>
    <w:p w:rsidR="007956EE" w:rsidRPr="00971BEC" w:rsidRDefault="007956EE" w:rsidP="001A5947">
      <w:pPr>
        <w:rPr>
          <w:lang w:val="en-GB"/>
        </w:rPr>
      </w:pPr>
    </w:p>
    <w:p w:rsidR="001A5947" w:rsidRPr="001A5947" w:rsidRDefault="001A5947" w:rsidP="001A5947">
      <w:pPr>
        <w:rPr>
          <w:lang w:val="it-IT"/>
        </w:rPr>
      </w:pPr>
      <w:proofErr w:type="gramStart"/>
      <w:r w:rsidRPr="001A5947">
        <w:rPr>
          <w:lang w:val="it-IT"/>
        </w:rPr>
        <w:t>Ulteriore</w:t>
      </w:r>
      <w:proofErr w:type="gramEnd"/>
      <w:r w:rsidRPr="001A5947">
        <w:rPr>
          <w:lang w:val="it-IT"/>
        </w:rPr>
        <w:t xml:space="preserve"> bibliografia verrà segnalata all’inizio del corso.</w:t>
      </w:r>
    </w:p>
    <w:p w:rsidR="001A5947" w:rsidRPr="001A5947" w:rsidRDefault="001A5947" w:rsidP="001A5947">
      <w:pPr>
        <w:rPr>
          <w:lang w:val="it-IT"/>
        </w:rPr>
      </w:pPr>
      <w:r w:rsidRPr="001A5947">
        <w:rPr>
          <w:lang w:val="it-IT"/>
        </w:rPr>
        <w:t>3.)</w:t>
      </w:r>
      <w:r w:rsidRPr="001A5947">
        <w:rPr>
          <w:lang w:val="it-IT"/>
        </w:rPr>
        <w:tab/>
      </w:r>
      <w:proofErr w:type="gramStart"/>
      <w:r w:rsidRPr="001A5947">
        <w:rPr>
          <w:lang w:val="it-IT"/>
        </w:rPr>
        <w:t xml:space="preserve">Dispense della docente in rete sulla </w:t>
      </w:r>
      <w:r w:rsidR="007956EE">
        <w:rPr>
          <w:lang w:val="it-IT"/>
        </w:rPr>
        <w:t>pagina dell’insegnamento “Storia comparata delle lingue classiche”</w:t>
      </w:r>
      <w:r w:rsidRPr="001A5947">
        <w:rPr>
          <w:lang w:val="it-IT"/>
        </w:rPr>
        <w:t>.</w:t>
      </w:r>
      <w:proofErr w:type="gramEnd"/>
    </w:p>
    <w:p w:rsidR="001A5947" w:rsidRDefault="001A5947" w:rsidP="001A5947">
      <w:pPr>
        <w:rPr>
          <w:lang w:val="it-IT"/>
        </w:rPr>
      </w:pPr>
      <w:r w:rsidRPr="001A5947">
        <w:rPr>
          <w:b/>
          <w:lang w:val="it-IT"/>
        </w:rPr>
        <w:t xml:space="preserve">N.B. </w:t>
      </w:r>
      <w:r w:rsidRPr="001A5947">
        <w:rPr>
          <w:lang w:val="it-IT"/>
        </w:rPr>
        <w:t xml:space="preserve">Agli studenti che non hanno alcuna nozione di linguistica storica si raccomanda la lettura preliminare di LEHMANN, </w:t>
      </w:r>
      <w:proofErr w:type="gramStart"/>
      <w:r w:rsidRPr="001A5947">
        <w:rPr>
          <w:lang w:val="it-IT"/>
        </w:rPr>
        <w:t>W.P.</w:t>
      </w:r>
      <w:proofErr w:type="gramEnd"/>
      <w:r w:rsidRPr="001A5947">
        <w:rPr>
          <w:lang w:val="it-IT"/>
        </w:rPr>
        <w:t xml:space="preserve">, (1992), </w:t>
      </w:r>
      <w:r w:rsidRPr="001A5947">
        <w:rPr>
          <w:i/>
          <w:lang w:val="it-IT"/>
        </w:rPr>
        <w:t>Linguistica storica</w:t>
      </w:r>
      <w:r w:rsidRPr="001A5947">
        <w:rPr>
          <w:lang w:val="it-IT"/>
        </w:rPr>
        <w:t>, (</w:t>
      </w:r>
      <w:proofErr w:type="spellStart"/>
      <w:r w:rsidRPr="001A5947">
        <w:rPr>
          <w:lang w:val="it-IT"/>
        </w:rPr>
        <w:t>Trad</w:t>
      </w:r>
      <w:proofErr w:type="spellEnd"/>
      <w:r w:rsidRPr="001A5947">
        <w:rPr>
          <w:lang w:val="it-IT"/>
        </w:rPr>
        <w:t xml:space="preserve">. </w:t>
      </w:r>
      <w:proofErr w:type="spellStart"/>
      <w:r w:rsidRPr="001A5947">
        <w:rPr>
          <w:lang w:val="it-IT"/>
        </w:rPr>
        <w:t>it</w:t>
      </w:r>
      <w:proofErr w:type="spellEnd"/>
      <w:r w:rsidRPr="001A5947">
        <w:rPr>
          <w:lang w:val="it-IT"/>
        </w:rPr>
        <w:t>.) capitoli sul mutamento semantico, sintattico e morfologico, Bologna: Mulino e/o LAZZERONI R. (1987). Il mutamento linguistico. In: Lazzeroni, R. (a cura di) Linguistica Storica, pp. 13-54. Roma: La Nuova Italia Scientifica.</w:t>
      </w: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Pr="001E1D0B" w:rsidRDefault="001E1D0B" w:rsidP="001E1D0B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1E1D0B">
        <w:rPr>
          <w:rFonts w:asciiTheme="majorHAnsi" w:hAnsiTheme="majorHAnsi"/>
          <w:b/>
          <w:sz w:val="28"/>
          <w:szCs w:val="28"/>
          <w:lang w:val="it-IT"/>
        </w:rPr>
        <w:t>Linguistica storica 2011-2012</w:t>
      </w:r>
    </w:p>
    <w:p w:rsidR="001E1D0B" w:rsidRDefault="001E1D0B" w:rsidP="001E1D0B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1E1D0B">
        <w:rPr>
          <w:rFonts w:asciiTheme="majorHAnsi" w:hAnsiTheme="majorHAnsi"/>
          <w:b/>
          <w:i/>
          <w:sz w:val="28"/>
          <w:szCs w:val="28"/>
          <w:lang w:val="it-IT"/>
        </w:rPr>
        <w:t>Linguistica storica: le mappe semantiche</w:t>
      </w:r>
    </w:p>
    <w:p w:rsidR="001E1D0B" w:rsidRPr="001E1D0B" w:rsidRDefault="001E1D0B" w:rsidP="001E1D0B">
      <w:pPr>
        <w:jc w:val="center"/>
        <w:rPr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Prof.ssa Paola 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Cotticelli</w:t>
      </w:r>
      <w:proofErr w:type="spellEnd"/>
    </w:p>
    <w:p w:rsidR="001E1D0B" w:rsidRDefault="001E1D0B" w:rsidP="001E1D0B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1E1D0B">
        <w:rPr>
          <w:rFonts w:asciiTheme="majorHAnsi" w:hAnsiTheme="majorHAnsi"/>
          <w:b/>
          <w:sz w:val="28"/>
          <w:szCs w:val="28"/>
          <w:lang w:val="it-IT"/>
        </w:rPr>
        <w:t>Programma</w:t>
      </w:r>
    </w:p>
    <w:p w:rsidR="00B60D58" w:rsidRDefault="00B60D58" w:rsidP="001E1D0B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1. Introduzione: concetti grammaticali e mutamento linguistico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2. Le mappe semantiche: premesse introduttive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3. Le mappe semantiche: ambiti di applicazione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3.1. Nome e casi</w:t>
      </w:r>
      <w:r w:rsidR="00DD1FA6">
        <w:rPr>
          <w:rFonts w:asciiTheme="majorHAnsi" w:hAnsiTheme="majorHAnsi"/>
          <w:b/>
          <w:sz w:val="28"/>
          <w:szCs w:val="28"/>
          <w:lang w:val="it-IT"/>
        </w:rPr>
        <w:t xml:space="preserve">, </w:t>
      </w:r>
      <w:proofErr w:type="gramStart"/>
      <w:r w:rsidR="00DD1FA6">
        <w:rPr>
          <w:rFonts w:asciiTheme="majorHAnsi" w:hAnsiTheme="majorHAnsi"/>
          <w:b/>
          <w:sz w:val="28"/>
          <w:szCs w:val="28"/>
          <w:lang w:val="it-IT"/>
        </w:rPr>
        <w:t>genitivo e dativo</w:t>
      </w:r>
      <w:proofErr w:type="gramEnd"/>
      <w:r w:rsidR="00DD1FA6">
        <w:rPr>
          <w:rFonts w:asciiTheme="majorHAnsi" w:hAnsiTheme="majorHAnsi"/>
          <w:b/>
          <w:sz w:val="28"/>
          <w:szCs w:val="28"/>
          <w:lang w:val="it-IT"/>
        </w:rPr>
        <w:t>, nomi massa definitezza e genericità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3.2. Pronome: indefinitezza e riflessivi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3.3. Verbo: </w:t>
      </w:r>
      <w:r w:rsidR="00DD1FA6">
        <w:rPr>
          <w:rFonts w:asciiTheme="majorHAnsi" w:hAnsiTheme="majorHAnsi"/>
          <w:b/>
          <w:sz w:val="28"/>
          <w:szCs w:val="28"/>
          <w:lang w:val="it-IT"/>
        </w:rPr>
        <w:t xml:space="preserve">concetti temporali e spaziali 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3.4. Verbo: </w:t>
      </w:r>
      <w:proofErr w:type="gramStart"/>
      <w:r>
        <w:rPr>
          <w:rFonts w:asciiTheme="majorHAnsi" w:hAnsiTheme="majorHAnsi"/>
          <w:b/>
          <w:sz w:val="28"/>
          <w:szCs w:val="28"/>
          <w:lang w:val="it-IT"/>
        </w:rPr>
        <w:t>modalità</w:t>
      </w:r>
      <w:proofErr w:type="gramEnd"/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3.5. Colori</w:t>
      </w:r>
    </w:p>
    <w:p w:rsidR="00B60D58" w:rsidRDefault="00B60D58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3.6. </w:t>
      </w:r>
      <w:r w:rsidR="00DD1FA6">
        <w:rPr>
          <w:rFonts w:asciiTheme="majorHAnsi" w:hAnsiTheme="majorHAnsi"/>
          <w:b/>
          <w:sz w:val="28"/>
          <w:szCs w:val="28"/>
          <w:lang w:val="it-IT"/>
        </w:rPr>
        <w:t>Semantica e Significato</w:t>
      </w:r>
    </w:p>
    <w:p w:rsidR="00DD1FA6" w:rsidRDefault="00DD1FA6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4. Altri ambiti applicativi affini</w:t>
      </w:r>
    </w:p>
    <w:p w:rsidR="00DD1FA6" w:rsidRDefault="00DD1FA6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4.1. Le mappe e la linguistica cognitiva</w:t>
      </w:r>
    </w:p>
    <w:p w:rsidR="00DD1FA6" w:rsidRPr="002A6EA5" w:rsidRDefault="00DD1FA6" w:rsidP="00B60D58">
      <w:pPr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4.2. Le mappe nel </w:t>
      </w:r>
      <w:proofErr w:type="spellStart"/>
      <w:r w:rsidRPr="00DD1FA6">
        <w:rPr>
          <w:rFonts w:asciiTheme="majorHAnsi" w:hAnsiTheme="majorHAnsi"/>
          <w:b/>
          <w:i/>
          <w:sz w:val="28"/>
          <w:szCs w:val="28"/>
          <w:lang w:val="it-IT"/>
        </w:rPr>
        <w:t>semantic</w:t>
      </w:r>
      <w:proofErr w:type="spellEnd"/>
      <w:r w:rsidRPr="00DD1FA6">
        <w:rPr>
          <w:rFonts w:asciiTheme="majorHAnsi" w:hAnsiTheme="majorHAnsi"/>
          <w:b/>
          <w:i/>
          <w:sz w:val="28"/>
          <w:szCs w:val="28"/>
          <w:lang w:val="it-IT"/>
        </w:rPr>
        <w:t xml:space="preserve"> web</w:t>
      </w:r>
    </w:p>
    <w:p w:rsidR="00DD1FA6" w:rsidRDefault="00DD1FA6" w:rsidP="00B60D58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4.3. Le rappresentazioni mentali e la didattica</w:t>
      </w:r>
    </w:p>
    <w:p w:rsidR="00DD1FA6" w:rsidRDefault="00DD1FA6" w:rsidP="00B60D58">
      <w:pPr>
        <w:rPr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4.4. Mappe e ipertesto</w:t>
      </w: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Default="001E1D0B" w:rsidP="001A5947">
      <w:pPr>
        <w:rPr>
          <w:lang w:val="it-IT"/>
        </w:rPr>
      </w:pPr>
    </w:p>
    <w:p w:rsidR="001E1D0B" w:rsidRPr="001E1D0B" w:rsidRDefault="001E1D0B" w:rsidP="001A5947">
      <w:pPr>
        <w:rPr>
          <w:lang w:val="it-IT"/>
        </w:rPr>
      </w:pPr>
    </w:p>
    <w:sectPr w:rsidR="001E1D0B" w:rsidRPr="001E1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23"/>
    <w:rsid w:val="001A5947"/>
    <w:rsid w:val="001E1D0B"/>
    <w:rsid w:val="002A6EA5"/>
    <w:rsid w:val="007956EE"/>
    <w:rsid w:val="007C4423"/>
    <w:rsid w:val="00912D21"/>
    <w:rsid w:val="00971BEC"/>
    <w:rsid w:val="00B472F9"/>
    <w:rsid w:val="00B60D58"/>
    <w:rsid w:val="00BA78C3"/>
    <w:rsid w:val="00D7291A"/>
    <w:rsid w:val="00DB3FD6"/>
    <w:rsid w:val="00DD1FA6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71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1BEC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link">
    <w:name w:val="Hyperlink"/>
    <w:basedOn w:val="Absatz-Standardschriftart"/>
    <w:uiPriority w:val="99"/>
    <w:unhideWhenUsed/>
    <w:rsid w:val="00971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71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1BEC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link">
    <w:name w:val="Hyperlink"/>
    <w:basedOn w:val="Absatz-Standardschriftart"/>
    <w:uiPriority w:val="99"/>
    <w:unhideWhenUsed/>
    <w:rsid w:val="0097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c.edu/depts/slavdept/lajanda/jandabltfestschrif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Paola Cotticelli</dc:creator>
  <cp:keywords/>
  <dc:description/>
  <cp:lastModifiedBy>Dr. Paola Cotticelli</cp:lastModifiedBy>
  <cp:revision>11</cp:revision>
  <dcterms:created xsi:type="dcterms:W3CDTF">2012-04-23T11:33:00Z</dcterms:created>
  <dcterms:modified xsi:type="dcterms:W3CDTF">2012-05-21T16:25:00Z</dcterms:modified>
</cp:coreProperties>
</file>