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17AEB" w14:textId="77777777" w:rsidR="004D7613" w:rsidRPr="00C56109" w:rsidRDefault="004D7613" w:rsidP="004D7613">
      <w:pPr>
        <w:pStyle w:val="Titolo"/>
        <w:spacing w:before="120"/>
        <w:rPr>
          <w:rFonts w:cs="Arial"/>
          <w:lang w:val="en-US"/>
        </w:rPr>
      </w:pPr>
      <w:bookmarkStart w:id="0" w:name="_GoBack"/>
      <w:bookmarkEnd w:id="0"/>
      <w:r w:rsidRPr="00C56109">
        <w:rPr>
          <w:rFonts w:cs="Arial"/>
          <w:lang w:val="en-US"/>
        </w:rPr>
        <w:t xml:space="preserve">PRIVATE AND </w:t>
      </w:r>
      <w:r w:rsidR="00C56109">
        <w:rPr>
          <w:rFonts w:cs="Arial"/>
          <w:lang w:val="en-US"/>
        </w:rPr>
        <w:t>PROCEDURAL INTERNATIONAL LAW</w:t>
      </w:r>
    </w:p>
    <w:p w14:paraId="4175483C" w14:textId="77777777" w:rsidR="004D7613" w:rsidRPr="00C56109" w:rsidRDefault="004D7613" w:rsidP="004D7613">
      <w:pPr>
        <w:spacing w:before="120"/>
        <w:jc w:val="center"/>
        <w:rPr>
          <w:rFonts w:cs="Arial"/>
          <w:i/>
          <w:iCs/>
          <w:szCs w:val="26"/>
          <w:lang w:val="en-US"/>
        </w:rPr>
      </w:pPr>
      <w:r w:rsidRPr="00C56109">
        <w:rPr>
          <w:rFonts w:cs="Arial"/>
          <w:i/>
          <w:iCs/>
          <w:szCs w:val="26"/>
          <w:lang w:val="en-US"/>
        </w:rPr>
        <w:t xml:space="preserve">(Francesca </w:t>
      </w:r>
      <w:proofErr w:type="spellStart"/>
      <w:r w:rsidRPr="00C56109">
        <w:rPr>
          <w:rFonts w:cs="Arial"/>
          <w:i/>
          <w:iCs/>
          <w:szCs w:val="26"/>
          <w:lang w:val="en-US"/>
        </w:rPr>
        <w:t>Ragno</w:t>
      </w:r>
      <w:proofErr w:type="spellEnd"/>
      <w:r w:rsidRPr="00C56109">
        <w:rPr>
          <w:rFonts w:cs="Arial"/>
          <w:i/>
          <w:iCs/>
          <w:szCs w:val="26"/>
          <w:lang w:val="en-US"/>
        </w:rPr>
        <w:t>)</w:t>
      </w:r>
    </w:p>
    <w:p w14:paraId="4B610ED9" w14:textId="77777777" w:rsidR="004D7613" w:rsidRPr="00C56109" w:rsidRDefault="00C56109" w:rsidP="004D7613">
      <w:pPr>
        <w:spacing w:before="120"/>
        <w:jc w:val="both"/>
        <w:rPr>
          <w:rFonts w:cs="Arial"/>
          <w:b/>
          <w:i/>
          <w:szCs w:val="26"/>
          <w:lang w:val="en-US"/>
        </w:rPr>
      </w:pPr>
      <w:r>
        <w:rPr>
          <w:rFonts w:cs="Arial"/>
          <w:b/>
          <w:i/>
          <w:szCs w:val="26"/>
          <w:lang w:val="en-US"/>
        </w:rPr>
        <w:t>Learning outcomes</w:t>
      </w:r>
    </w:p>
    <w:p w14:paraId="658367A2" w14:textId="77777777" w:rsidR="004D7613" w:rsidRPr="00C56109" w:rsidRDefault="004D7613" w:rsidP="004D7613">
      <w:pPr>
        <w:spacing w:before="120"/>
        <w:jc w:val="both"/>
        <w:rPr>
          <w:rFonts w:cs="Arial"/>
          <w:szCs w:val="26"/>
          <w:lang w:val="en-US"/>
        </w:rPr>
      </w:pPr>
      <w:r w:rsidRPr="00C56109">
        <w:rPr>
          <w:rFonts w:cs="Arial"/>
          <w:szCs w:val="26"/>
          <w:lang w:val="en-US"/>
        </w:rPr>
        <w:t xml:space="preserve">The course analyzes the </w:t>
      </w:r>
      <w:r w:rsidR="009053A7" w:rsidRPr="00C56109">
        <w:rPr>
          <w:rFonts w:cs="Arial"/>
          <w:szCs w:val="26"/>
          <w:lang w:val="en-US"/>
        </w:rPr>
        <w:t>questions</w:t>
      </w:r>
      <w:r w:rsidRPr="00C56109">
        <w:rPr>
          <w:rFonts w:cs="Arial"/>
          <w:szCs w:val="26"/>
          <w:lang w:val="en-US"/>
        </w:rPr>
        <w:t xml:space="preserve"> arising out cross-border private relationships </w:t>
      </w:r>
      <w:r w:rsidR="009053A7" w:rsidRPr="00C56109">
        <w:rPr>
          <w:rFonts w:cs="Arial"/>
          <w:szCs w:val="26"/>
          <w:lang w:val="en-US"/>
        </w:rPr>
        <w:t xml:space="preserve">and aims at transmitting to students the tools necessary to understand the </w:t>
      </w:r>
      <w:r w:rsidR="00BB55A2" w:rsidRPr="00C56109">
        <w:rPr>
          <w:rFonts w:cs="Arial"/>
          <w:szCs w:val="26"/>
          <w:lang w:val="en-US"/>
        </w:rPr>
        <w:t>meaning</w:t>
      </w:r>
      <w:r w:rsidR="009053A7" w:rsidRPr="00C56109">
        <w:rPr>
          <w:rFonts w:cs="Arial"/>
          <w:szCs w:val="26"/>
          <w:lang w:val="en-US"/>
        </w:rPr>
        <w:t xml:space="preserve">, the scope and </w:t>
      </w:r>
      <w:r w:rsidR="00BB55A2" w:rsidRPr="00C56109">
        <w:rPr>
          <w:rFonts w:cs="Arial"/>
          <w:szCs w:val="26"/>
          <w:lang w:val="en-US"/>
        </w:rPr>
        <w:t xml:space="preserve">the </w:t>
      </w:r>
      <w:r w:rsidR="009053A7" w:rsidRPr="00C56109">
        <w:rPr>
          <w:rFonts w:cs="Arial"/>
          <w:szCs w:val="26"/>
          <w:lang w:val="en-US"/>
        </w:rPr>
        <w:t>applicability requirements of the provisions on jurisdiction, choice-of-law and circulation of foreign judi</w:t>
      </w:r>
      <w:r w:rsidR="00C56109">
        <w:rPr>
          <w:rFonts w:cs="Arial"/>
          <w:szCs w:val="26"/>
          <w:lang w:val="en-US"/>
        </w:rPr>
        <w:t>ci</w:t>
      </w:r>
      <w:r w:rsidR="009053A7" w:rsidRPr="00C56109">
        <w:rPr>
          <w:rFonts w:cs="Arial"/>
          <w:szCs w:val="26"/>
          <w:lang w:val="en-US"/>
        </w:rPr>
        <w:t>al acts/decisions</w:t>
      </w:r>
      <w:r w:rsidR="00BB55A2" w:rsidRPr="00C56109">
        <w:rPr>
          <w:rFonts w:cs="Arial"/>
          <w:szCs w:val="26"/>
          <w:lang w:val="en-US"/>
        </w:rPr>
        <w:t xml:space="preserve"> in force in the Italian legal system</w:t>
      </w:r>
      <w:r w:rsidR="009053A7" w:rsidRPr="00C56109">
        <w:rPr>
          <w:rFonts w:cs="Arial"/>
          <w:szCs w:val="26"/>
          <w:lang w:val="en-US"/>
        </w:rPr>
        <w:t>.</w:t>
      </w:r>
      <w:r w:rsidR="00BB55A2" w:rsidRPr="00C56109">
        <w:rPr>
          <w:rFonts w:cs="Arial"/>
          <w:szCs w:val="26"/>
          <w:lang w:val="en-US"/>
        </w:rPr>
        <w:t xml:space="preserve"> At the end of the course students will be able to navigate</w:t>
      </w:r>
      <w:r w:rsidRPr="00C56109">
        <w:rPr>
          <w:rFonts w:cs="Arial"/>
          <w:szCs w:val="26"/>
          <w:lang w:val="en-US"/>
        </w:rPr>
        <w:t xml:space="preserve"> </w:t>
      </w:r>
      <w:r w:rsidR="00BB55A2" w:rsidRPr="00C56109">
        <w:rPr>
          <w:rFonts w:cs="Arial"/>
          <w:szCs w:val="26"/>
          <w:lang w:val="en-US"/>
        </w:rPr>
        <w:t>through the plurality of legal sources</w:t>
      </w:r>
      <w:r w:rsidRPr="00C56109">
        <w:rPr>
          <w:rFonts w:cs="Arial"/>
          <w:szCs w:val="26"/>
          <w:lang w:val="en-US"/>
        </w:rPr>
        <w:t xml:space="preserve"> - </w:t>
      </w:r>
      <w:r w:rsidR="00131EF6">
        <w:rPr>
          <w:rFonts w:cs="Arial"/>
          <w:szCs w:val="26"/>
          <w:lang w:val="en-US"/>
        </w:rPr>
        <w:t>also I</w:t>
      </w:r>
      <w:r w:rsidR="00BB55A2" w:rsidRPr="00C56109">
        <w:rPr>
          <w:rFonts w:cs="Arial"/>
          <w:szCs w:val="26"/>
          <w:lang w:val="en-US"/>
        </w:rPr>
        <w:t xml:space="preserve">nternational and </w:t>
      </w:r>
      <w:r w:rsidR="00C56109" w:rsidRPr="00C56109">
        <w:rPr>
          <w:rFonts w:cs="Arial"/>
          <w:szCs w:val="26"/>
          <w:lang w:val="en-US"/>
        </w:rPr>
        <w:t>European</w:t>
      </w:r>
      <w:r w:rsidR="00BB55A2" w:rsidRPr="00C56109">
        <w:rPr>
          <w:rFonts w:cs="Arial"/>
          <w:szCs w:val="26"/>
          <w:lang w:val="en-US"/>
        </w:rPr>
        <w:t xml:space="preserve"> - regula</w:t>
      </w:r>
      <w:r w:rsidR="00C66936" w:rsidRPr="00C56109">
        <w:rPr>
          <w:rFonts w:cs="Arial"/>
          <w:szCs w:val="26"/>
          <w:lang w:val="en-US"/>
        </w:rPr>
        <w:t>ting this f</w:t>
      </w:r>
      <w:r w:rsidR="006659F3" w:rsidRPr="00C56109">
        <w:rPr>
          <w:rFonts w:cs="Arial"/>
          <w:szCs w:val="26"/>
          <w:lang w:val="en-US"/>
        </w:rPr>
        <w:t>ield. S</w:t>
      </w:r>
      <w:r w:rsidR="00C66936" w:rsidRPr="00C56109">
        <w:rPr>
          <w:rFonts w:cs="Arial"/>
          <w:szCs w:val="26"/>
          <w:lang w:val="en-US"/>
        </w:rPr>
        <w:t xml:space="preserve">tudents, moreover, will be provided with the methodology and the knowledge </w:t>
      </w:r>
      <w:r w:rsidR="006659F3" w:rsidRPr="00C56109">
        <w:rPr>
          <w:rFonts w:cs="Arial"/>
          <w:szCs w:val="26"/>
          <w:lang w:val="en-US"/>
        </w:rPr>
        <w:t>essential</w:t>
      </w:r>
      <w:r w:rsidR="00C66936" w:rsidRPr="00C56109">
        <w:rPr>
          <w:rFonts w:cs="Arial"/>
          <w:szCs w:val="26"/>
          <w:lang w:val="en-US"/>
        </w:rPr>
        <w:t xml:space="preserve"> to solve practical (and often difficult) cases. This ability</w:t>
      </w:r>
      <w:r w:rsidRPr="00C56109">
        <w:rPr>
          <w:rFonts w:cs="Arial"/>
          <w:szCs w:val="26"/>
          <w:lang w:val="en-US"/>
        </w:rPr>
        <w:t xml:space="preserve"> -</w:t>
      </w:r>
      <w:r w:rsidR="00C66936" w:rsidRPr="00C56109">
        <w:rPr>
          <w:rFonts w:cs="Arial"/>
          <w:szCs w:val="26"/>
          <w:lang w:val="en-US"/>
        </w:rPr>
        <w:t xml:space="preserve"> cr</w:t>
      </w:r>
      <w:r w:rsidR="006659F3" w:rsidRPr="00C56109">
        <w:rPr>
          <w:rFonts w:cs="Arial"/>
          <w:szCs w:val="26"/>
          <w:lang w:val="en-US"/>
        </w:rPr>
        <w:t>ucial to any lawyer who operates</w:t>
      </w:r>
      <w:r w:rsidR="00C66936" w:rsidRPr="00C56109">
        <w:rPr>
          <w:rFonts w:cs="Arial"/>
          <w:szCs w:val="26"/>
          <w:lang w:val="en-US"/>
        </w:rPr>
        <w:t xml:space="preserve"> in </w:t>
      </w:r>
      <w:proofErr w:type="spellStart"/>
      <w:r w:rsidR="00C66936" w:rsidRPr="00C56109">
        <w:rPr>
          <w:rFonts w:cs="Arial"/>
          <w:szCs w:val="26"/>
          <w:lang w:val="en-US"/>
        </w:rPr>
        <w:t>a</w:t>
      </w:r>
      <w:proofErr w:type="spellEnd"/>
      <w:r w:rsidR="00C66936" w:rsidRPr="00C56109">
        <w:rPr>
          <w:rFonts w:cs="Arial"/>
          <w:szCs w:val="26"/>
          <w:lang w:val="en-US"/>
        </w:rPr>
        <w:t xml:space="preserve"> increasingly transnational reality </w:t>
      </w:r>
      <w:r w:rsidRPr="00C56109">
        <w:rPr>
          <w:rFonts w:cs="Arial"/>
          <w:szCs w:val="26"/>
          <w:lang w:val="en-US"/>
        </w:rPr>
        <w:t xml:space="preserve">- </w:t>
      </w:r>
      <w:r w:rsidR="00C56109" w:rsidRPr="00C56109">
        <w:rPr>
          <w:rFonts w:cs="Arial"/>
          <w:szCs w:val="26"/>
          <w:lang w:val="en-US"/>
        </w:rPr>
        <w:t xml:space="preserve">will be </w:t>
      </w:r>
      <w:r w:rsidR="00131EF6">
        <w:rPr>
          <w:rFonts w:cs="Arial"/>
          <w:szCs w:val="26"/>
          <w:lang w:val="en-US"/>
        </w:rPr>
        <w:t>achieved</w:t>
      </w:r>
      <w:r w:rsidR="00C56109" w:rsidRPr="00C56109">
        <w:rPr>
          <w:rFonts w:cs="Arial"/>
          <w:szCs w:val="26"/>
          <w:lang w:val="en-US"/>
        </w:rPr>
        <w:t xml:space="preserve"> by </w:t>
      </w:r>
      <w:r w:rsidR="00131EF6">
        <w:rPr>
          <w:rFonts w:cs="Arial"/>
          <w:szCs w:val="26"/>
          <w:lang w:val="en-US"/>
        </w:rPr>
        <w:t>promoting</w:t>
      </w:r>
      <w:r w:rsidR="00C56109" w:rsidRPr="00C56109">
        <w:rPr>
          <w:rFonts w:cs="Arial"/>
          <w:szCs w:val="26"/>
          <w:lang w:val="en-US"/>
        </w:rPr>
        <w:t xml:space="preserve"> critical </w:t>
      </w:r>
      <w:r w:rsidR="00C56109">
        <w:rPr>
          <w:rFonts w:cs="Arial"/>
          <w:szCs w:val="26"/>
          <w:lang w:val="en-US"/>
        </w:rPr>
        <w:t>reasoning</w:t>
      </w:r>
      <w:r w:rsidR="00C56109" w:rsidRPr="00C56109">
        <w:rPr>
          <w:rFonts w:cs="Arial"/>
          <w:szCs w:val="26"/>
          <w:lang w:val="en-US"/>
        </w:rPr>
        <w:t xml:space="preserve"> and interaction in class</w:t>
      </w:r>
      <w:r w:rsidRPr="00C56109">
        <w:rPr>
          <w:rFonts w:cs="Arial"/>
          <w:szCs w:val="26"/>
          <w:lang w:val="en-US"/>
        </w:rPr>
        <w:t>.</w:t>
      </w:r>
    </w:p>
    <w:p w14:paraId="7D2B92A8" w14:textId="77777777" w:rsidR="004D7613" w:rsidRPr="00C56109" w:rsidRDefault="004D7613" w:rsidP="004D7613">
      <w:pPr>
        <w:spacing w:before="120"/>
        <w:jc w:val="both"/>
        <w:rPr>
          <w:rFonts w:cs="Arial"/>
          <w:szCs w:val="26"/>
          <w:lang w:val="en-US"/>
        </w:rPr>
      </w:pPr>
      <w:r w:rsidRPr="00C56109">
        <w:rPr>
          <w:rFonts w:cs="Arial"/>
          <w:b/>
          <w:i/>
          <w:lang w:val="en-US"/>
        </w:rPr>
        <w:t>Program</w:t>
      </w:r>
    </w:p>
    <w:p w14:paraId="0BA62AF3" w14:textId="77777777" w:rsidR="004D7613" w:rsidRPr="00C56109" w:rsidRDefault="004D7613" w:rsidP="004D7613">
      <w:pPr>
        <w:rPr>
          <w:szCs w:val="24"/>
          <w:lang w:val="en-US"/>
        </w:rPr>
      </w:pPr>
    </w:p>
    <w:p w14:paraId="00CA5FC2" w14:textId="77777777" w:rsidR="004D7613" w:rsidRPr="00C56109" w:rsidRDefault="004D7613" w:rsidP="004D7613">
      <w:pPr>
        <w:jc w:val="both"/>
        <w:rPr>
          <w:b/>
          <w:szCs w:val="24"/>
          <w:lang w:val="en-US"/>
        </w:rPr>
      </w:pPr>
      <w:r w:rsidRPr="00C56109">
        <w:rPr>
          <w:b/>
          <w:szCs w:val="24"/>
          <w:lang w:val="en-US"/>
        </w:rPr>
        <w:t xml:space="preserve">I. </w:t>
      </w:r>
      <w:r w:rsidR="008B2467">
        <w:rPr>
          <w:b/>
          <w:szCs w:val="24"/>
          <w:lang w:val="en-US"/>
        </w:rPr>
        <w:t>Object</w:t>
      </w:r>
      <w:r w:rsidRPr="00C56109">
        <w:rPr>
          <w:b/>
          <w:szCs w:val="24"/>
          <w:lang w:val="en-US"/>
        </w:rPr>
        <w:t xml:space="preserve">, </w:t>
      </w:r>
      <w:r w:rsidR="008B2467">
        <w:rPr>
          <w:b/>
          <w:szCs w:val="24"/>
          <w:lang w:val="en-US"/>
        </w:rPr>
        <w:t xml:space="preserve">purpose and features of private and procedural international law </w:t>
      </w:r>
    </w:p>
    <w:p w14:paraId="6EC840C8" w14:textId="77777777" w:rsidR="004D7613" w:rsidRPr="00C56109" w:rsidRDefault="004D7613" w:rsidP="004D7613">
      <w:pPr>
        <w:jc w:val="both"/>
        <w:rPr>
          <w:szCs w:val="24"/>
          <w:lang w:val="en-US"/>
        </w:rPr>
      </w:pPr>
      <w:r w:rsidRPr="00C56109">
        <w:rPr>
          <w:szCs w:val="24"/>
          <w:lang w:val="en-US"/>
        </w:rPr>
        <w:t xml:space="preserve">- </w:t>
      </w:r>
      <w:r w:rsidR="008B2467">
        <w:rPr>
          <w:szCs w:val="24"/>
          <w:lang w:val="en-US"/>
        </w:rPr>
        <w:t>Origin</w:t>
      </w:r>
      <w:r w:rsidRPr="00C56109">
        <w:rPr>
          <w:szCs w:val="24"/>
          <w:lang w:val="en-US"/>
        </w:rPr>
        <w:t xml:space="preserve">, </w:t>
      </w:r>
      <w:r w:rsidR="008B2467">
        <w:rPr>
          <w:szCs w:val="24"/>
          <w:lang w:val="en-US"/>
        </w:rPr>
        <w:t>evolution</w:t>
      </w:r>
      <w:r w:rsidRPr="00C56109">
        <w:rPr>
          <w:szCs w:val="24"/>
          <w:lang w:val="en-US"/>
        </w:rPr>
        <w:t xml:space="preserve"> </w:t>
      </w:r>
      <w:r w:rsidR="008B2467">
        <w:rPr>
          <w:szCs w:val="24"/>
          <w:lang w:val="en-US"/>
        </w:rPr>
        <w:t>and purpose of the subject matter</w:t>
      </w:r>
    </w:p>
    <w:p w14:paraId="136A386A" w14:textId="77777777" w:rsidR="004D7613" w:rsidRPr="00C56109" w:rsidRDefault="004D7613" w:rsidP="004D7613">
      <w:pPr>
        <w:jc w:val="both"/>
        <w:rPr>
          <w:szCs w:val="24"/>
          <w:lang w:val="en-US"/>
        </w:rPr>
      </w:pPr>
      <w:r w:rsidRPr="00C56109">
        <w:rPr>
          <w:szCs w:val="24"/>
          <w:lang w:val="en-US"/>
        </w:rPr>
        <w:t xml:space="preserve">- </w:t>
      </w:r>
      <w:r w:rsidR="008B2467">
        <w:rPr>
          <w:szCs w:val="24"/>
          <w:lang w:val="en-US"/>
        </w:rPr>
        <w:t xml:space="preserve">Legal sources and </w:t>
      </w:r>
      <w:r w:rsidR="00131EF6">
        <w:rPr>
          <w:szCs w:val="24"/>
          <w:lang w:val="en-US"/>
        </w:rPr>
        <w:t>unification</w:t>
      </w:r>
      <w:r w:rsidR="008B2467">
        <w:rPr>
          <w:szCs w:val="24"/>
          <w:lang w:val="en-US"/>
        </w:rPr>
        <w:t xml:space="preserve"> pursued at International and European level </w:t>
      </w:r>
    </w:p>
    <w:p w14:paraId="6D02EDFB" w14:textId="77777777" w:rsidR="004D7613" w:rsidRPr="00C56109" w:rsidRDefault="004D7613" w:rsidP="004D7613">
      <w:pPr>
        <w:jc w:val="both"/>
        <w:rPr>
          <w:szCs w:val="24"/>
          <w:lang w:val="en-US"/>
        </w:rPr>
      </w:pPr>
      <w:r w:rsidRPr="00C56109">
        <w:rPr>
          <w:b/>
          <w:szCs w:val="24"/>
          <w:lang w:val="en-US"/>
        </w:rPr>
        <w:t xml:space="preserve">II. </w:t>
      </w:r>
      <w:r w:rsidR="008B2467">
        <w:rPr>
          <w:b/>
          <w:szCs w:val="24"/>
          <w:lang w:val="en-US"/>
        </w:rPr>
        <w:t xml:space="preserve">International procedural law fundamentals </w:t>
      </w:r>
      <w:r w:rsidRPr="00C56109">
        <w:rPr>
          <w:szCs w:val="24"/>
          <w:lang w:val="en-US"/>
        </w:rPr>
        <w:t xml:space="preserve">- </w:t>
      </w:r>
      <w:r w:rsidR="008B2467">
        <w:rPr>
          <w:szCs w:val="24"/>
          <w:lang w:val="en-US"/>
        </w:rPr>
        <w:t>specific attention will be devoted to Law</w:t>
      </w:r>
      <w:r w:rsidRPr="00C56109">
        <w:rPr>
          <w:szCs w:val="24"/>
          <w:lang w:val="en-US"/>
        </w:rPr>
        <w:t xml:space="preserve"> n. 218/95 </w:t>
      </w:r>
      <w:r w:rsidR="008B2467">
        <w:rPr>
          <w:szCs w:val="24"/>
          <w:lang w:val="en-US"/>
        </w:rPr>
        <w:t>and</w:t>
      </w:r>
      <w:r w:rsidRPr="00C56109">
        <w:rPr>
          <w:szCs w:val="24"/>
          <w:lang w:val="en-US"/>
        </w:rPr>
        <w:t xml:space="preserve"> </w:t>
      </w:r>
      <w:r w:rsidR="008B2467" w:rsidRPr="008B2467">
        <w:rPr>
          <w:szCs w:val="24"/>
          <w:lang w:val="en-US"/>
        </w:rPr>
        <w:t>Regulation (EU) No</w:t>
      </w:r>
      <w:r w:rsidR="00A06AF3">
        <w:rPr>
          <w:szCs w:val="24"/>
          <w:lang w:val="en-US"/>
        </w:rPr>
        <w:t>.</w:t>
      </w:r>
      <w:r w:rsidR="008B2467" w:rsidRPr="008B2467">
        <w:rPr>
          <w:szCs w:val="24"/>
          <w:lang w:val="en-US"/>
        </w:rPr>
        <w:t xml:space="preserve"> 1215/2012 of the European Parliament and of the Council of 12 December 2012 on jurisdiction and the recognition and enforcement of judgments in civil and commercial matters</w:t>
      </w:r>
      <w:r w:rsidR="008B2467">
        <w:rPr>
          <w:szCs w:val="24"/>
          <w:lang w:val="en-US"/>
        </w:rPr>
        <w:t xml:space="preserve"> (so called Brussels</w:t>
      </w:r>
      <w:r w:rsidRPr="00C56109">
        <w:rPr>
          <w:szCs w:val="24"/>
          <w:lang w:val="en-US"/>
        </w:rPr>
        <w:t xml:space="preserve"> I </w:t>
      </w:r>
      <w:proofErr w:type="spellStart"/>
      <w:r w:rsidRPr="00C56109">
        <w:rPr>
          <w:i/>
          <w:szCs w:val="24"/>
          <w:lang w:val="en-US"/>
        </w:rPr>
        <w:t>bis</w:t>
      </w:r>
      <w:proofErr w:type="spellEnd"/>
      <w:r w:rsidRPr="00C56109">
        <w:rPr>
          <w:szCs w:val="24"/>
          <w:lang w:val="en-US"/>
        </w:rPr>
        <w:t>)</w:t>
      </w:r>
    </w:p>
    <w:p w14:paraId="2470AE39" w14:textId="0A023580" w:rsidR="005F63A9" w:rsidRDefault="004D7613" w:rsidP="004D7613">
      <w:pPr>
        <w:jc w:val="both"/>
        <w:rPr>
          <w:szCs w:val="24"/>
          <w:lang w:val="en-US"/>
        </w:rPr>
      </w:pPr>
      <w:r w:rsidRPr="00C56109">
        <w:rPr>
          <w:szCs w:val="24"/>
          <w:lang w:val="en-US"/>
        </w:rPr>
        <w:t xml:space="preserve">- </w:t>
      </w:r>
      <w:r w:rsidR="008B2467">
        <w:rPr>
          <w:szCs w:val="24"/>
          <w:lang w:val="en-US"/>
        </w:rPr>
        <w:t>Allocation of jurisdiction in transnational cases</w:t>
      </w:r>
      <w:r w:rsidRPr="00C56109">
        <w:rPr>
          <w:szCs w:val="24"/>
          <w:lang w:val="en-US"/>
        </w:rPr>
        <w:t>:</w:t>
      </w:r>
      <w:r w:rsidR="008B2467">
        <w:rPr>
          <w:szCs w:val="24"/>
          <w:lang w:val="en-US"/>
        </w:rPr>
        <w:t xml:space="preserve"> </w:t>
      </w:r>
      <w:r w:rsidR="005F63A9">
        <w:rPr>
          <w:szCs w:val="24"/>
          <w:lang w:val="en-US"/>
        </w:rPr>
        <w:t>heads of jurisdiction and choice-of-court agreement</w:t>
      </w:r>
      <w:r w:rsidR="009C11B1">
        <w:rPr>
          <w:szCs w:val="24"/>
          <w:lang w:val="en-US"/>
        </w:rPr>
        <w:t>s</w:t>
      </w:r>
      <w:r w:rsidRPr="00C56109">
        <w:rPr>
          <w:szCs w:val="24"/>
          <w:lang w:val="en-US"/>
        </w:rPr>
        <w:t xml:space="preserve"> </w:t>
      </w:r>
    </w:p>
    <w:p w14:paraId="11D873E3" w14:textId="77777777" w:rsidR="004D7613" w:rsidRPr="00C56109" w:rsidRDefault="004D7613" w:rsidP="004D7613">
      <w:pPr>
        <w:jc w:val="both"/>
        <w:rPr>
          <w:szCs w:val="24"/>
          <w:lang w:val="en-US"/>
        </w:rPr>
      </w:pPr>
      <w:r w:rsidRPr="00C56109">
        <w:rPr>
          <w:szCs w:val="24"/>
          <w:lang w:val="en-US"/>
        </w:rPr>
        <w:t xml:space="preserve">- </w:t>
      </w:r>
      <w:r w:rsidR="005F63A9">
        <w:rPr>
          <w:szCs w:val="24"/>
          <w:lang w:val="en-US"/>
        </w:rPr>
        <w:t xml:space="preserve">Coordination of proceedings pending before different national courts: </w:t>
      </w:r>
      <w:proofErr w:type="spellStart"/>
      <w:r w:rsidR="005F63A9" w:rsidRPr="005F63A9">
        <w:rPr>
          <w:i/>
          <w:szCs w:val="24"/>
          <w:lang w:val="en-US"/>
        </w:rPr>
        <w:t>lis</w:t>
      </w:r>
      <w:proofErr w:type="spellEnd"/>
      <w:r w:rsidR="005F63A9" w:rsidRPr="005F63A9">
        <w:rPr>
          <w:i/>
          <w:szCs w:val="24"/>
          <w:lang w:val="en-US"/>
        </w:rPr>
        <w:t xml:space="preserve"> alibi </w:t>
      </w:r>
      <w:proofErr w:type="spellStart"/>
      <w:r w:rsidR="005F63A9" w:rsidRPr="005F63A9">
        <w:rPr>
          <w:i/>
          <w:szCs w:val="24"/>
          <w:lang w:val="en-US"/>
        </w:rPr>
        <w:t>pendens</w:t>
      </w:r>
      <w:proofErr w:type="spellEnd"/>
    </w:p>
    <w:p w14:paraId="37E28144" w14:textId="77777777" w:rsidR="005F63A9" w:rsidRDefault="004D7613" w:rsidP="004D7613">
      <w:pPr>
        <w:jc w:val="both"/>
        <w:rPr>
          <w:szCs w:val="24"/>
          <w:lang w:val="en-US"/>
        </w:rPr>
      </w:pPr>
      <w:r w:rsidRPr="00C56109">
        <w:rPr>
          <w:szCs w:val="24"/>
          <w:lang w:val="en-US"/>
        </w:rPr>
        <w:t xml:space="preserve">- </w:t>
      </w:r>
      <w:r w:rsidR="005F63A9">
        <w:rPr>
          <w:szCs w:val="24"/>
          <w:lang w:val="en-US"/>
        </w:rPr>
        <w:t>Mechanism regulating the circulation of decisions</w:t>
      </w:r>
      <w:r w:rsidRPr="00C56109">
        <w:rPr>
          <w:szCs w:val="24"/>
          <w:lang w:val="en-US"/>
        </w:rPr>
        <w:t xml:space="preserve">: </w:t>
      </w:r>
      <w:r w:rsidR="005F63A9">
        <w:rPr>
          <w:szCs w:val="24"/>
          <w:lang w:val="en-US"/>
        </w:rPr>
        <w:t>requirement for the recognition and enforcement of foreign decisions</w:t>
      </w:r>
      <w:r w:rsidRPr="00C56109">
        <w:rPr>
          <w:szCs w:val="24"/>
          <w:lang w:val="en-US"/>
        </w:rPr>
        <w:t xml:space="preserve"> </w:t>
      </w:r>
    </w:p>
    <w:p w14:paraId="0785D138" w14:textId="77777777" w:rsidR="005F63A9" w:rsidRDefault="005F63A9" w:rsidP="004D7613">
      <w:pPr>
        <w:jc w:val="both"/>
        <w:rPr>
          <w:b/>
          <w:szCs w:val="24"/>
          <w:lang w:val="en-US"/>
        </w:rPr>
      </w:pPr>
      <w:r>
        <w:rPr>
          <w:b/>
          <w:szCs w:val="24"/>
          <w:lang w:val="en-US"/>
        </w:rPr>
        <w:t>III. "</w:t>
      </w:r>
      <w:r w:rsidR="00A06AF3">
        <w:rPr>
          <w:b/>
          <w:szCs w:val="24"/>
          <w:lang w:val="en-US"/>
        </w:rPr>
        <w:t>Choice of law</w:t>
      </w:r>
      <w:r>
        <w:rPr>
          <w:b/>
          <w:szCs w:val="24"/>
          <w:lang w:val="en-US"/>
        </w:rPr>
        <w:t>"</w:t>
      </w:r>
      <w:r w:rsidR="00A06AF3">
        <w:rPr>
          <w:b/>
          <w:szCs w:val="24"/>
          <w:lang w:val="en-US"/>
        </w:rPr>
        <w:t xml:space="preserve"> </w:t>
      </w:r>
      <w:r>
        <w:rPr>
          <w:b/>
          <w:szCs w:val="24"/>
          <w:lang w:val="en-US"/>
        </w:rPr>
        <w:t>problem and coordination methods</w:t>
      </w:r>
      <w:r w:rsidR="004D7613" w:rsidRPr="00C56109">
        <w:rPr>
          <w:b/>
          <w:szCs w:val="24"/>
          <w:lang w:val="en-US"/>
        </w:rPr>
        <w:t xml:space="preserve"> </w:t>
      </w:r>
    </w:p>
    <w:p w14:paraId="33B7F7B5" w14:textId="77777777" w:rsidR="004D7613" w:rsidRPr="00C56109" w:rsidRDefault="004D7613" w:rsidP="004D7613">
      <w:pPr>
        <w:jc w:val="both"/>
        <w:rPr>
          <w:rFonts w:cs="Arial"/>
          <w:szCs w:val="24"/>
          <w:lang w:val="en-US"/>
        </w:rPr>
      </w:pPr>
      <w:r w:rsidRPr="00C56109">
        <w:rPr>
          <w:rFonts w:cs="Arial"/>
          <w:szCs w:val="24"/>
          <w:lang w:val="en-US"/>
        </w:rPr>
        <w:t xml:space="preserve">- </w:t>
      </w:r>
      <w:r w:rsidR="005F63A9">
        <w:rPr>
          <w:rFonts w:cs="Arial"/>
          <w:szCs w:val="24"/>
          <w:lang w:val="en-US"/>
        </w:rPr>
        <w:t>Structure</w:t>
      </w:r>
      <w:r w:rsidRPr="00C56109">
        <w:rPr>
          <w:rFonts w:cs="Arial"/>
          <w:szCs w:val="24"/>
          <w:lang w:val="en-US"/>
        </w:rPr>
        <w:t xml:space="preserve"> </w:t>
      </w:r>
      <w:r w:rsidR="005F63A9">
        <w:rPr>
          <w:rFonts w:cs="Arial"/>
          <w:szCs w:val="24"/>
          <w:lang w:val="en-US"/>
        </w:rPr>
        <w:t xml:space="preserve">and function of </w:t>
      </w:r>
      <w:r w:rsidR="00A06AF3">
        <w:rPr>
          <w:rFonts w:cs="Arial"/>
          <w:szCs w:val="24"/>
          <w:lang w:val="en-US"/>
        </w:rPr>
        <w:t>choice of law</w:t>
      </w:r>
      <w:r w:rsidR="005F63A9">
        <w:rPr>
          <w:rFonts w:cs="Arial"/>
          <w:szCs w:val="24"/>
          <w:lang w:val="en-US"/>
        </w:rPr>
        <w:t xml:space="preserve"> provisions,</w:t>
      </w:r>
      <w:r w:rsidRPr="00C56109">
        <w:rPr>
          <w:rFonts w:cs="Arial"/>
          <w:szCs w:val="24"/>
          <w:lang w:val="en-US"/>
        </w:rPr>
        <w:t xml:space="preserve"> </w:t>
      </w:r>
      <w:r w:rsidR="005F63A9">
        <w:rPr>
          <w:rFonts w:cs="Arial"/>
          <w:szCs w:val="24"/>
          <w:lang w:val="en-US"/>
        </w:rPr>
        <w:t>connecting factors</w:t>
      </w:r>
      <w:r w:rsidRPr="00C56109">
        <w:rPr>
          <w:rFonts w:cs="Arial"/>
          <w:szCs w:val="24"/>
          <w:lang w:val="en-US"/>
        </w:rPr>
        <w:t xml:space="preserve"> </w:t>
      </w:r>
    </w:p>
    <w:p w14:paraId="33A6B498" w14:textId="77777777" w:rsidR="004D7613" w:rsidRPr="00C56109" w:rsidRDefault="004D7613" w:rsidP="004D7613">
      <w:pPr>
        <w:jc w:val="both"/>
        <w:rPr>
          <w:rFonts w:cs="Arial"/>
          <w:szCs w:val="24"/>
          <w:lang w:val="en-US"/>
        </w:rPr>
      </w:pPr>
      <w:r w:rsidRPr="00C56109">
        <w:rPr>
          <w:rFonts w:cs="Arial"/>
          <w:szCs w:val="24"/>
          <w:lang w:val="en-US"/>
        </w:rPr>
        <w:t xml:space="preserve">- </w:t>
      </w:r>
      <w:r w:rsidR="005F63A9">
        <w:rPr>
          <w:rFonts w:cs="Arial"/>
          <w:szCs w:val="24"/>
          <w:lang w:val="en-US"/>
        </w:rPr>
        <w:t>Characterization and preliminary questions</w:t>
      </w:r>
      <w:r w:rsidRPr="00C56109">
        <w:rPr>
          <w:rFonts w:cs="Arial"/>
          <w:szCs w:val="24"/>
          <w:lang w:val="en-US"/>
        </w:rPr>
        <w:t xml:space="preserve">, </w:t>
      </w:r>
      <w:proofErr w:type="spellStart"/>
      <w:r w:rsidR="005F63A9" w:rsidRPr="00A06AF3">
        <w:rPr>
          <w:rFonts w:cs="Arial"/>
          <w:i/>
          <w:szCs w:val="24"/>
          <w:lang w:val="en-US"/>
        </w:rPr>
        <w:t>renvoi</w:t>
      </w:r>
      <w:proofErr w:type="spellEnd"/>
      <w:r w:rsidRPr="00C56109">
        <w:rPr>
          <w:rFonts w:cs="Arial"/>
          <w:szCs w:val="24"/>
          <w:lang w:val="en-US"/>
        </w:rPr>
        <w:t xml:space="preserve"> </w:t>
      </w:r>
    </w:p>
    <w:p w14:paraId="1D6AFCE5" w14:textId="77777777" w:rsidR="004D7613" w:rsidRPr="00C56109" w:rsidRDefault="004D7613" w:rsidP="004D7613">
      <w:pPr>
        <w:jc w:val="both"/>
        <w:rPr>
          <w:rFonts w:cs="Arial"/>
          <w:szCs w:val="24"/>
          <w:lang w:val="en-US"/>
        </w:rPr>
      </w:pPr>
      <w:r w:rsidRPr="00C56109">
        <w:rPr>
          <w:rFonts w:cs="Arial"/>
          <w:szCs w:val="24"/>
          <w:lang w:val="en-US"/>
        </w:rPr>
        <w:t xml:space="preserve">- </w:t>
      </w:r>
      <w:r w:rsidR="005F63A9">
        <w:rPr>
          <w:rFonts w:cs="Arial"/>
          <w:szCs w:val="24"/>
          <w:lang w:val="en-US"/>
        </w:rPr>
        <w:t>Ascertainment and interpretation</w:t>
      </w:r>
      <w:r w:rsidRPr="00C56109">
        <w:rPr>
          <w:rFonts w:cs="Arial"/>
          <w:szCs w:val="24"/>
          <w:lang w:val="en-US"/>
        </w:rPr>
        <w:t xml:space="preserve"> </w:t>
      </w:r>
      <w:r w:rsidR="005F63A9">
        <w:rPr>
          <w:rFonts w:cs="Arial"/>
          <w:szCs w:val="24"/>
          <w:lang w:val="en-US"/>
        </w:rPr>
        <w:t>of foreign law</w:t>
      </w:r>
    </w:p>
    <w:p w14:paraId="2C749038" w14:textId="77777777" w:rsidR="00A06AF3" w:rsidRDefault="004D7613" w:rsidP="004D7613">
      <w:pPr>
        <w:jc w:val="both"/>
        <w:rPr>
          <w:rFonts w:cs="Arial"/>
          <w:szCs w:val="24"/>
          <w:lang w:val="en-US"/>
        </w:rPr>
      </w:pPr>
      <w:r w:rsidRPr="00C56109">
        <w:rPr>
          <w:rFonts w:cs="Arial"/>
          <w:szCs w:val="24"/>
          <w:lang w:val="en-US"/>
        </w:rPr>
        <w:t xml:space="preserve">- </w:t>
      </w:r>
      <w:r w:rsidR="00A06AF3">
        <w:rPr>
          <w:rFonts w:cs="Arial"/>
          <w:szCs w:val="24"/>
          <w:lang w:val="en-US"/>
        </w:rPr>
        <w:t>Public policy and overriding mandatory provisions</w:t>
      </w:r>
    </w:p>
    <w:p w14:paraId="0ECD8292" w14:textId="4D45CD46" w:rsidR="00A06AF3" w:rsidRDefault="004D7613" w:rsidP="004E797F">
      <w:pPr>
        <w:jc w:val="both"/>
        <w:rPr>
          <w:rFonts w:cs="Arial"/>
          <w:szCs w:val="24"/>
          <w:lang w:val="en-US"/>
        </w:rPr>
      </w:pPr>
      <w:r w:rsidRPr="00C56109">
        <w:rPr>
          <w:rFonts w:cs="Arial"/>
          <w:szCs w:val="24"/>
          <w:lang w:val="en-US"/>
        </w:rPr>
        <w:t xml:space="preserve">- </w:t>
      </w:r>
      <w:r w:rsidR="00A06AF3">
        <w:rPr>
          <w:rFonts w:cs="Arial"/>
          <w:szCs w:val="24"/>
          <w:lang w:val="en-US"/>
        </w:rPr>
        <w:t>Overview on the EU choice of law regulations</w:t>
      </w:r>
      <w:r w:rsidRPr="00C56109">
        <w:rPr>
          <w:rFonts w:cs="Arial"/>
          <w:szCs w:val="24"/>
          <w:lang w:val="en-US"/>
        </w:rPr>
        <w:t xml:space="preserve">: </w:t>
      </w:r>
      <w:r w:rsidR="00A06AF3">
        <w:rPr>
          <w:rFonts w:cs="Arial"/>
          <w:szCs w:val="24"/>
          <w:lang w:val="en-US"/>
        </w:rPr>
        <w:t>characteristics and</w:t>
      </w:r>
      <w:r w:rsidRPr="00C56109">
        <w:rPr>
          <w:rFonts w:cs="Arial"/>
          <w:szCs w:val="24"/>
          <w:lang w:val="en-US"/>
        </w:rPr>
        <w:t xml:space="preserve"> </w:t>
      </w:r>
      <w:r w:rsidR="00A06AF3">
        <w:rPr>
          <w:rFonts w:cs="Arial"/>
          <w:szCs w:val="24"/>
          <w:lang w:val="en-US"/>
        </w:rPr>
        <w:t>peculiarities of the EU choice of law</w:t>
      </w:r>
      <w:r w:rsidRPr="00C56109">
        <w:rPr>
          <w:rFonts w:cs="Arial"/>
          <w:szCs w:val="24"/>
          <w:lang w:val="en-US"/>
        </w:rPr>
        <w:t xml:space="preserve"> </w:t>
      </w:r>
      <w:r w:rsidR="004E797F">
        <w:rPr>
          <w:rFonts w:cs="Arial"/>
          <w:szCs w:val="24"/>
          <w:lang w:val="en-US"/>
        </w:rPr>
        <w:t>regime</w:t>
      </w:r>
    </w:p>
    <w:p w14:paraId="7D16E6CA" w14:textId="77777777" w:rsidR="004D7613" w:rsidRPr="00C56109" w:rsidRDefault="004D7613" w:rsidP="004D7613">
      <w:pPr>
        <w:jc w:val="both"/>
        <w:rPr>
          <w:rFonts w:cs="Arial"/>
          <w:szCs w:val="24"/>
          <w:lang w:val="en-US"/>
        </w:rPr>
      </w:pPr>
      <w:r w:rsidRPr="00C56109">
        <w:rPr>
          <w:rFonts w:cs="Arial"/>
          <w:szCs w:val="24"/>
          <w:lang w:val="en-US"/>
        </w:rPr>
        <w:lastRenderedPageBreak/>
        <w:t xml:space="preserve">- </w:t>
      </w:r>
      <w:r w:rsidR="00A06AF3" w:rsidRPr="00A06AF3">
        <w:rPr>
          <w:rFonts w:cs="Arial"/>
          <w:szCs w:val="24"/>
          <w:lang w:val="en-US"/>
        </w:rPr>
        <w:t>Regulation (EC) No</w:t>
      </w:r>
      <w:r w:rsidR="00A06AF3">
        <w:rPr>
          <w:rFonts w:cs="Arial"/>
          <w:szCs w:val="24"/>
          <w:lang w:val="en-US"/>
        </w:rPr>
        <w:t>.</w:t>
      </w:r>
      <w:r w:rsidR="00A06AF3" w:rsidRPr="00A06AF3">
        <w:rPr>
          <w:rFonts w:cs="Arial"/>
          <w:szCs w:val="24"/>
          <w:lang w:val="en-US"/>
        </w:rPr>
        <w:t xml:space="preserve"> 593/2008 of the European Parliament and of the Council of 17 June 2008 on the law applicable to contractual obligations (Rome I) </w:t>
      </w:r>
      <w:r w:rsidR="00A06AF3">
        <w:rPr>
          <w:rFonts w:cs="Arial"/>
          <w:szCs w:val="24"/>
          <w:lang w:val="en-US"/>
        </w:rPr>
        <w:t>(so called Rome</w:t>
      </w:r>
      <w:r w:rsidRPr="00C56109">
        <w:rPr>
          <w:rFonts w:cs="Arial"/>
          <w:szCs w:val="24"/>
          <w:lang w:val="en-US"/>
        </w:rPr>
        <w:t xml:space="preserve"> I)</w:t>
      </w:r>
    </w:p>
    <w:p w14:paraId="72A0C5B8" w14:textId="1046BCE1" w:rsidR="004D7613" w:rsidRPr="00C56109" w:rsidRDefault="004D7613" w:rsidP="004D7613">
      <w:pPr>
        <w:jc w:val="both"/>
        <w:rPr>
          <w:szCs w:val="24"/>
          <w:lang w:val="en-US"/>
        </w:rPr>
      </w:pPr>
      <w:r w:rsidRPr="00C56109">
        <w:rPr>
          <w:rFonts w:cs="Arial"/>
          <w:szCs w:val="24"/>
          <w:lang w:val="en-US"/>
        </w:rPr>
        <w:t xml:space="preserve">- </w:t>
      </w:r>
      <w:r w:rsidR="00A06AF3" w:rsidRPr="00A06AF3">
        <w:rPr>
          <w:rFonts w:cs="Arial"/>
          <w:szCs w:val="24"/>
          <w:lang w:val="en-US"/>
        </w:rPr>
        <w:t>Regulation (EC) No</w:t>
      </w:r>
      <w:r w:rsidR="00A06AF3">
        <w:rPr>
          <w:rFonts w:cs="Arial"/>
          <w:szCs w:val="24"/>
          <w:lang w:val="en-US"/>
        </w:rPr>
        <w:t>.</w:t>
      </w:r>
      <w:r w:rsidR="00A06AF3" w:rsidRPr="00A06AF3">
        <w:rPr>
          <w:rFonts w:cs="Arial"/>
          <w:szCs w:val="24"/>
          <w:lang w:val="en-US"/>
        </w:rPr>
        <w:t xml:space="preserve"> 864/2007 of the European Parliament and of the Council of 11 July 2007 on the law applicable to non-contractual obligations (</w:t>
      </w:r>
      <w:r w:rsidR="004E797F">
        <w:rPr>
          <w:rFonts w:cs="Arial"/>
          <w:szCs w:val="24"/>
          <w:lang w:val="en-US"/>
        </w:rPr>
        <w:t xml:space="preserve">so called </w:t>
      </w:r>
      <w:r w:rsidR="00A06AF3" w:rsidRPr="00A06AF3">
        <w:rPr>
          <w:rFonts w:cs="Arial"/>
          <w:szCs w:val="24"/>
          <w:lang w:val="en-US"/>
        </w:rPr>
        <w:t>Rome II)</w:t>
      </w:r>
    </w:p>
    <w:p w14:paraId="1CCE2B3E" w14:textId="77777777" w:rsidR="004D7613" w:rsidRPr="00C56109" w:rsidRDefault="004D7613" w:rsidP="004D7613">
      <w:pPr>
        <w:jc w:val="both"/>
        <w:rPr>
          <w:szCs w:val="24"/>
          <w:lang w:val="en-US"/>
        </w:rPr>
      </w:pPr>
    </w:p>
    <w:p w14:paraId="2C5DA5B1" w14:textId="77777777" w:rsidR="004D7613" w:rsidRPr="00C56109" w:rsidRDefault="00131EF6" w:rsidP="004D7613">
      <w:pPr>
        <w:tabs>
          <w:tab w:val="left" w:pos="284"/>
        </w:tabs>
        <w:spacing w:before="120"/>
        <w:jc w:val="both"/>
        <w:rPr>
          <w:rFonts w:cs="Arial"/>
          <w:b/>
          <w:i/>
          <w:szCs w:val="24"/>
          <w:lang w:val="en-US"/>
        </w:rPr>
      </w:pPr>
      <w:r>
        <w:rPr>
          <w:rFonts w:cs="Arial"/>
          <w:b/>
          <w:i/>
          <w:szCs w:val="24"/>
          <w:lang w:val="en-US"/>
        </w:rPr>
        <w:t>Textbooks</w:t>
      </w:r>
    </w:p>
    <w:p w14:paraId="1FAA4BAC" w14:textId="77777777" w:rsidR="004D7613" w:rsidRPr="00C56109" w:rsidRDefault="004D7613" w:rsidP="004D7613">
      <w:pPr>
        <w:tabs>
          <w:tab w:val="left" w:pos="284"/>
        </w:tabs>
        <w:spacing w:before="120"/>
        <w:jc w:val="both"/>
        <w:rPr>
          <w:rFonts w:cs="Arial"/>
          <w:szCs w:val="24"/>
          <w:lang w:val="en-US"/>
        </w:rPr>
      </w:pPr>
      <w:r w:rsidRPr="00C56109">
        <w:rPr>
          <w:rFonts w:cs="Arial"/>
          <w:i/>
          <w:szCs w:val="24"/>
          <w:lang w:val="en-US"/>
        </w:rPr>
        <w:t>a)</w:t>
      </w:r>
      <w:r w:rsidRPr="00C56109">
        <w:rPr>
          <w:rFonts w:cs="Arial"/>
          <w:szCs w:val="24"/>
          <w:lang w:val="en-US"/>
        </w:rPr>
        <w:t xml:space="preserve"> B. </w:t>
      </w:r>
      <w:proofErr w:type="spellStart"/>
      <w:r w:rsidRPr="00C56109">
        <w:rPr>
          <w:rFonts w:cs="Arial"/>
          <w:szCs w:val="24"/>
          <w:lang w:val="en-US"/>
        </w:rPr>
        <w:t>Barel</w:t>
      </w:r>
      <w:proofErr w:type="spellEnd"/>
      <w:r w:rsidRPr="00C56109">
        <w:rPr>
          <w:rFonts w:cs="Arial"/>
          <w:szCs w:val="24"/>
          <w:lang w:val="en-US"/>
        </w:rPr>
        <w:t xml:space="preserve"> e S. </w:t>
      </w:r>
      <w:proofErr w:type="spellStart"/>
      <w:r w:rsidRPr="00C56109">
        <w:rPr>
          <w:rFonts w:cs="Arial"/>
          <w:szCs w:val="24"/>
          <w:lang w:val="en-US"/>
        </w:rPr>
        <w:t>Armellini</w:t>
      </w:r>
      <w:proofErr w:type="spellEnd"/>
      <w:r w:rsidRPr="00C56109">
        <w:rPr>
          <w:rFonts w:cs="Arial"/>
          <w:szCs w:val="24"/>
          <w:lang w:val="en-US"/>
        </w:rPr>
        <w:t xml:space="preserve">, </w:t>
      </w:r>
      <w:proofErr w:type="spellStart"/>
      <w:r w:rsidRPr="00C56109">
        <w:rPr>
          <w:rFonts w:cs="Arial"/>
          <w:i/>
          <w:szCs w:val="24"/>
          <w:lang w:val="en-US"/>
        </w:rPr>
        <w:t>Diritto</w:t>
      </w:r>
      <w:proofErr w:type="spellEnd"/>
      <w:r w:rsidRPr="00C56109">
        <w:rPr>
          <w:rFonts w:cs="Arial"/>
          <w:i/>
          <w:szCs w:val="24"/>
          <w:lang w:val="en-US"/>
        </w:rPr>
        <w:t xml:space="preserve"> </w:t>
      </w:r>
      <w:proofErr w:type="spellStart"/>
      <w:r w:rsidRPr="00C56109">
        <w:rPr>
          <w:rFonts w:cs="Arial"/>
          <w:i/>
          <w:szCs w:val="24"/>
          <w:lang w:val="en-US"/>
        </w:rPr>
        <w:t>internazionale</w:t>
      </w:r>
      <w:proofErr w:type="spellEnd"/>
      <w:r w:rsidRPr="00C56109">
        <w:rPr>
          <w:rFonts w:cs="Arial"/>
          <w:i/>
          <w:szCs w:val="24"/>
          <w:lang w:val="en-US"/>
        </w:rPr>
        <w:t xml:space="preserve"> </w:t>
      </w:r>
      <w:proofErr w:type="spellStart"/>
      <w:r w:rsidRPr="00C56109">
        <w:rPr>
          <w:rFonts w:cs="Arial"/>
          <w:i/>
          <w:szCs w:val="24"/>
          <w:lang w:val="en-US"/>
        </w:rPr>
        <w:t>privato</w:t>
      </w:r>
      <w:proofErr w:type="spellEnd"/>
      <w:r w:rsidRPr="00C56109">
        <w:rPr>
          <w:rFonts w:cs="Arial"/>
          <w:i/>
          <w:szCs w:val="24"/>
          <w:lang w:val="en-US"/>
        </w:rPr>
        <w:t xml:space="preserve">. </w:t>
      </w:r>
      <w:proofErr w:type="spellStart"/>
      <w:r w:rsidRPr="00C56109">
        <w:rPr>
          <w:rFonts w:cs="Arial"/>
          <w:i/>
          <w:szCs w:val="24"/>
          <w:lang w:val="en-US"/>
        </w:rPr>
        <w:t>Manuale</w:t>
      </w:r>
      <w:proofErr w:type="spellEnd"/>
      <w:r w:rsidRPr="00C56109">
        <w:rPr>
          <w:rFonts w:cs="Arial"/>
          <w:i/>
          <w:szCs w:val="24"/>
          <w:lang w:val="en-US"/>
        </w:rPr>
        <w:t xml:space="preserve"> breve</w:t>
      </w:r>
      <w:r w:rsidR="00A06AF3">
        <w:rPr>
          <w:rFonts w:cs="Arial"/>
          <w:szCs w:val="24"/>
          <w:lang w:val="en-US"/>
        </w:rPr>
        <w:t>, XIII ed., Milan</w:t>
      </w:r>
      <w:r w:rsidRPr="00C56109">
        <w:rPr>
          <w:rFonts w:cs="Arial"/>
          <w:szCs w:val="24"/>
          <w:lang w:val="en-US"/>
        </w:rPr>
        <w:t>, 2018</w:t>
      </w:r>
    </w:p>
    <w:p w14:paraId="6325CD30" w14:textId="77777777" w:rsidR="004D7613" w:rsidRPr="00C56109" w:rsidRDefault="004D7613" w:rsidP="004D7613">
      <w:pPr>
        <w:tabs>
          <w:tab w:val="left" w:pos="284"/>
        </w:tabs>
        <w:spacing w:before="120"/>
        <w:jc w:val="both"/>
        <w:rPr>
          <w:rFonts w:cs="Arial"/>
          <w:szCs w:val="24"/>
          <w:lang w:val="en-US"/>
        </w:rPr>
      </w:pPr>
      <w:r w:rsidRPr="00C56109">
        <w:rPr>
          <w:rFonts w:cs="Arial"/>
          <w:szCs w:val="24"/>
          <w:lang w:val="en-US"/>
        </w:rPr>
        <w:t>o</w:t>
      </w:r>
      <w:r w:rsidR="00131EF6">
        <w:rPr>
          <w:rFonts w:cs="Arial"/>
          <w:szCs w:val="24"/>
          <w:lang w:val="en-US"/>
        </w:rPr>
        <w:t>r</w:t>
      </w:r>
    </w:p>
    <w:p w14:paraId="3C3DA41F" w14:textId="77777777" w:rsidR="004D7613" w:rsidRPr="00C56109" w:rsidRDefault="004D7613" w:rsidP="004D7613">
      <w:pPr>
        <w:tabs>
          <w:tab w:val="left" w:pos="284"/>
        </w:tabs>
        <w:spacing w:before="120"/>
        <w:jc w:val="both"/>
        <w:rPr>
          <w:szCs w:val="24"/>
          <w:lang w:val="en-US"/>
        </w:rPr>
      </w:pPr>
      <w:r w:rsidRPr="00C56109">
        <w:rPr>
          <w:i/>
          <w:szCs w:val="24"/>
          <w:lang w:val="en-US"/>
        </w:rPr>
        <w:t>b)</w:t>
      </w:r>
      <w:r w:rsidRPr="00C56109">
        <w:rPr>
          <w:szCs w:val="24"/>
          <w:lang w:val="en-US"/>
        </w:rPr>
        <w:t xml:space="preserve"> F. </w:t>
      </w:r>
      <w:proofErr w:type="spellStart"/>
      <w:r w:rsidRPr="00C56109">
        <w:rPr>
          <w:bCs/>
          <w:szCs w:val="24"/>
          <w:lang w:val="en-US"/>
        </w:rPr>
        <w:t>Mosconi</w:t>
      </w:r>
      <w:proofErr w:type="spellEnd"/>
      <w:r w:rsidRPr="00C56109">
        <w:rPr>
          <w:szCs w:val="24"/>
          <w:lang w:val="en-US"/>
        </w:rPr>
        <w:t xml:space="preserve"> e C. </w:t>
      </w:r>
      <w:r w:rsidRPr="00C56109">
        <w:rPr>
          <w:bCs/>
          <w:szCs w:val="24"/>
          <w:lang w:val="en-US"/>
        </w:rPr>
        <w:t>Campiglio</w:t>
      </w:r>
      <w:r w:rsidRPr="00C56109">
        <w:rPr>
          <w:szCs w:val="24"/>
          <w:lang w:val="en-US"/>
        </w:rPr>
        <w:t xml:space="preserve">, </w:t>
      </w:r>
      <w:proofErr w:type="spellStart"/>
      <w:r w:rsidRPr="00C56109">
        <w:rPr>
          <w:bCs/>
          <w:i/>
          <w:szCs w:val="24"/>
          <w:lang w:val="en-US"/>
        </w:rPr>
        <w:t>Diritto</w:t>
      </w:r>
      <w:proofErr w:type="spellEnd"/>
      <w:r w:rsidRPr="00C56109">
        <w:rPr>
          <w:bCs/>
          <w:i/>
          <w:szCs w:val="24"/>
          <w:lang w:val="en-US"/>
        </w:rPr>
        <w:t xml:space="preserve"> </w:t>
      </w:r>
      <w:proofErr w:type="spellStart"/>
      <w:r w:rsidRPr="00C56109">
        <w:rPr>
          <w:bCs/>
          <w:i/>
          <w:szCs w:val="24"/>
          <w:lang w:val="en-US"/>
        </w:rPr>
        <w:t>internazionale</w:t>
      </w:r>
      <w:proofErr w:type="spellEnd"/>
      <w:r w:rsidRPr="00C56109">
        <w:rPr>
          <w:bCs/>
          <w:i/>
          <w:szCs w:val="24"/>
          <w:lang w:val="en-US"/>
        </w:rPr>
        <w:t xml:space="preserve"> </w:t>
      </w:r>
      <w:proofErr w:type="spellStart"/>
      <w:r w:rsidRPr="00C56109">
        <w:rPr>
          <w:bCs/>
          <w:i/>
          <w:szCs w:val="24"/>
          <w:lang w:val="en-US"/>
        </w:rPr>
        <w:t>privato</w:t>
      </w:r>
      <w:proofErr w:type="spellEnd"/>
      <w:r w:rsidRPr="00C56109">
        <w:rPr>
          <w:bCs/>
          <w:i/>
          <w:szCs w:val="24"/>
          <w:lang w:val="en-US"/>
        </w:rPr>
        <w:t xml:space="preserve"> e </w:t>
      </w:r>
      <w:proofErr w:type="spellStart"/>
      <w:r w:rsidRPr="00C56109">
        <w:rPr>
          <w:bCs/>
          <w:i/>
          <w:szCs w:val="24"/>
          <w:lang w:val="en-US"/>
        </w:rPr>
        <w:t>processuale</w:t>
      </w:r>
      <w:proofErr w:type="spellEnd"/>
      <w:r w:rsidRPr="00C56109">
        <w:rPr>
          <w:szCs w:val="24"/>
          <w:lang w:val="en-US"/>
        </w:rPr>
        <w:t xml:space="preserve">, </w:t>
      </w:r>
      <w:r w:rsidRPr="00C56109">
        <w:rPr>
          <w:i/>
          <w:szCs w:val="24"/>
          <w:lang w:val="en-US"/>
        </w:rPr>
        <w:t xml:space="preserve">Vol. I: Parte </w:t>
      </w:r>
      <w:proofErr w:type="spellStart"/>
      <w:r w:rsidRPr="00C56109">
        <w:rPr>
          <w:i/>
          <w:szCs w:val="24"/>
          <w:lang w:val="en-US"/>
        </w:rPr>
        <w:t>generale</w:t>
      </w:r>
      <w:proofErr w:type="spellEnd"/>
      <w:r w:rsidRPr="00C56109">
        <w:rPr>
          <w:i/>
          <w:szCs w:val="24"/>
          <w:lang w:val="en-US"/>
        </w:rPr>
        <w:t xml:space="preserve"> e </w:t>
      </w:r>
      <w:proofErr w:type="spellStart"/>
      <w:r w:rsidRPr="00C56109">
        <w:rPr>
          <w:i/>
          <w:szCs w:val="24"/>
          <w:lang w:val="en-US"/>
        </w:rPr>
        <w:t>obbligazioni</w:t>
      </w:r>
      <w:proofErr w:type="spellEnd"/>
      <w:r w:rsidRPr="00C56109">
        <w:rPr>
          <w:szCs w:val="24"/>
          <w:lang w:val="en-US"/>
        </w:rPr>
        <w:t xml:space="preserve">, VIII ed., </w:t>
      </w:r>
      <w:r w:rsidR="00A06AF3">
        <w:rPr>
          <w:szCs w:val="24"/>
          <w:lang w:val="en-US"/>
        </w:rPr>
        <w:t>Turin</w:t>
      </w:r>
      <w:r w:rsidRPr="00C56109">
        <w:rPr>
          <w:szCs w:val="24"/>
          <w:lang w:val="en-US"/>
        </w:rPr>
        <w:t>, 2017</w:t>
      </w:r>
    </w:p>
    <w:p w14:paraId="23CE1281" w14:textId="77777777" w:rsidR="004D7613" w:rsidRPr="00C56109" w:rsidRDefault="004D7613" w:rsidP="004D7613">
      <w:pPr>
        <w:tabs>
          <w:tab w:val="left" w:pos="284"/>
        </w:tabs>
        <w:spacing w:before="120"/>
        <w:jc w:val="both"/>
        <w:rPr>
          <w:rFonts w:cs="Arial"/>
          <w:i/>
          <w:szCs w:val="24"/>
          <w:lang w:val="en-US"/>
        </w:rPr>
      </w:pPr>
    </w:p>
    <w:p w14:paraId="33A89F27" w14:textId="77777777" w:rsidR="004D7613" w:rsidRPr="00C56109" w:rsidRDefault="00A06AF3" w:rsidP="004D7613">
      <w:pPr>
        <w:tabs>
          <w:tab w:val="left" w:pos="284"/>
        </w:tabs>
        <w:spacing w:before="120"/>
        <w:jc w:val="both"/>
        <w:rPr>
          <w:rFonts w:cs="Arial"/>
          <w:b/>
          <w:i/>
          <w:szCs w:val="24"/>
          <w:lang w:val="en-US"/>
        </w:rPr>
      </w:pPr>
      <w:r>
        <w:rPr>
          <w:rFonts w:cs="Arial"/>
          <w:b/>
          <w:i/>
          <w:szCs w:val="24"/>
          <w:lang w:val="en-US"/>
        </w:rPr>
        <w:t xml:space="preserve">Teaching </w:t>
      </w:r>
      <w:r w:rsidR="00394D54">
        <w:rPr>
          <w:rFonts w:cs="Arial"/>
          <w:b/>
          <w:i/>
          <w:szCs w:val="24"/>
          <w:lang w:val="en-US"/>
        </w:rPr>
        <w:t>method</w:t>
      </w:r>
    </w:p>
    <w:p w14:paraId="66EE6F29" w14:textId="77777777" w:rsidR="004D7613" w:rsidRPr="00C56109" w:rsidRDefault="00A06AF3" w:rsidP="004D7613">
      <w:pPr>
        <w:tabs>
          <w:tab w:val="left" w:pos="284"/>
        </w:tabs>
        <w:spacing w:before="120"/>
        <w:jc w:val="both"/>
        <w:rPr>
          <w:rFonts w:cs="Arial"/>
          <w:szCs w:val="24"/>
          <w:lang w:val="en-US"/>
        </w:rPr>
      </w:pPr>
      <w:r>
        <w:rPr>
          <w:rFonts w:cs="Arial"/>
          <w:szCs w:val="24"/>
          <w:lang w:val="en-US"/>
        </w:rPr>
        <w:t xml:space="preserve">Each </w:t>
      </w:r>
      <w:r w:rsidR="00F6244F">
        <w:rPr>
          <w:rFonts w:cs="Arial"/>
          <w:szCs w:val="24"/>
          <w:lang w:val="en-US"/>
        </w:rPr>
        <w:t xml:space="preserve">class will  be  based  on  lectures - devoted to the transmission of key notions and concepts and supported </w:t>
      </w:r>
      <w:r w:rsidR="002A51FF">
        <w:rPr>
          <w:rFonts w:cs="Arial"/>
          <w:szCs w:val="24"/>
          <w:lang w:val="en-US"/>
        </w:rPr>
        <w:t xml:space="preserve">by </w:t>
      </w:r>
      <w:r w:rsidR="00F6244F">
        <w:rPr>
          <w:rFonts w:cs="Arial"/>
          <w:szCs w:val="24"/>
          <w:lang w:val="en-US"/>
        </w:rPr>
        <w:t xml:space="preserve">PowerPoint presentations </w:t>
      </w:r>
      <w:r w:rsidR="002A51FF">
        <w:rPr>
          <w:rFonts w:cs="Arial"/>
          <w:szCs w:val="24"/>
          <w:lang w:val="en-US"/>
        </w:rPr>
        <w:t xml:space="preserve">- and </w:t>
      </w:r>
      <w:r w:rsidR="00F6244F" w:rsidRPr="00F6244F">
        <w:rPr>
          <w:rFonts w:cs="Arial"/>
          <w:szCs w:val="24"/>
          <w:lang w:val="en-US"/>
        </w:rPr>
        <w:t>group  discussions</w:t>
      </w:r>
      <w:r w:rsidR="002A51FF">
        <w:rPr>
          <w:rFonts w:cs="Arial"/>
          <w:szCs w:val="24"/>
          <w:lang w:val="en-US"/>
        </w:rPr>
        <w:t xml:space="preserve"> on</w:t>
      </w:r>
      <w:r w:rsidR="00394D54">
        <w:rPr>
          <w:rFonts w:cs="Arial"/>
          <w:szCs w:val="24"/>
          <w:lang w:val="en-US"/>
        </w:rPr>
        <w:t xml:space="preserve"> real</w:t>
      </w:r>
      <w:r w:rsidR="002A51FF">
        <w:rPr>
          <w:rFonts w:cs="Arial"/>
          <w:szCs w:val="24"/>
          <w:lang w:val="en-US"/>
        </w:rPr>
        <w:t xml:space="preserve"> cases</w:t>
      </w:r>
      <w:r w:rsidR="004D7613" w:rsidRPr="00C56109">
        <w:rPr>
          <w:rFonts w:cs="Arial"/>
          <w:szCs w:val="24"/>
          <w:lang w:val="en-US"/>
        </w:rPr>
        <w:t xml:space="preserve">. </w:t>
      </w:r>
      <w:r w:rsidR="002A51FF">
        <w:rPr>
          <w:rFonts w:cs="Arial"/>
          <w:szCs w:val="24"/>
          <w:lang w:val="en-US"/>
        </w:rPr>
        <w:t xml:space="preserve">In order to be able to actively </w:t>
      </w:r>
      <w:proofErr w:type="spellStart"/>
      <w:r w:rsidR="002A51FF">
        <w:rPr>
          <w:rFonts w:cs="Arial"/>
          <w:szCs w:val="24"/>
          <w:lang w:val="en-US"/>
        </w:rPr>
        <w:t>partecipate</w:t>
      </w:r>
      <w:proofErr w:type="spellEnd"/>
      <w:r w:rsidR="002A51FF">
        <w:rPr>
          <w:rFonts w:cs="Arial"/>
          <w:szCs w:val="24"/>
          <w:lang w:val="en-US"/>
        </w:rPr>
        <w:t xml:space="preserve"> in class, students will be required to read in advance the decisions </w:t>
      </w:r>
      <w:r w:rsidR="00131EF6">
        <w:rPr>
          <w:rFonts w:cs="Arial"/>
          <w:szCs w:val="24"/>
          <w:lang w:val="en-US"/>
        </w:rPr>
        <w:t xml:space="preserve">that are going to be </w:t>
      </w:r>
      <w:r w:rsidR="002A51FF">
        <w:rPr>
          <w:rFonts w:cs="Arial"/>
          <w:szCs w:val="24"/>
          <w:lang w:val="en-US"/>
        </w:rPr>
        <w:t>analyzed</w:t>
      </w:r>
      <w:r w:rsidR="004D7613" w:rsidRPr="00C56109">
        <w:rPr>
          <w:rFonts w:cs="Arial"/>
          <w:szCs w:val="24"/>
          <w:lang w:val="en-US"/>
        </w:rPr>
        <w:t xml:space="preserve">. </w:t>
      </w:r>
      <w:r w:rsidR="002A51FF">
        <w:rPr>
          <w:rFonts w:cs="Arial"/>
          <w:szCs w:val="24"/>
          <w:lang w:val="en-US"/>
        </w:rPr>
        <w:t>Legal mate</w:t>
      </w:r>
      <w:r w:rsidR="00394D54">
        <w:rPr>
          <w:rFonts w:cs="Arial"/>
          <w:szCs w:val="24"/>
          <w:lang w:val="en-US"/>
        </w:rPr>
        <w:t xml:space="preserve">rials, relevant decisions </w:t>
      </w:r>
      <w:r w:rsidR="002A51FF">
        <w:rPr>
          <w:rFonts w:cs="Arial"/>
          <w:szCs w:val="24"/>
          <w:lang w:val="en-US"/>
        </w:rPr>
        <w:t xml:space="preserve">and further readings will be posted on the e-learning platform. </w:t>
      </w:r>
    </w:p>
    <w:p w14:paraId="642B697C" w14:textId="77777777" w:rsidR="004D7613" w:rsidRPr="00C56109" w:rsidRDefault="004D7613" w:rsidP="004D7613">
      <w:pPr>
        <w:tabs>
          <w:tab w:val="left" w:pos="284"/>
        </w:tabs>
        <w:spacing w:before="120"/>
        <w:jc w:val="both"/>
        <w:rPr>
          <w:rFonts w:cs="Arial"/>
          <w:i/>
          <w:szCs w:val="24"/>
          <w:lang w:val="en-US"/>
        </w:rPr>
      </w:pPr>
    </w:p>
    <w:p w14:paraId="707AA1F8" w14:textId="77777777" w:rsidR="004D7613" w:rsidRPr="00C56109" w:rsidRDefault="00394D54" w:rsidP="004D7613">
      <w:pPr>
        <w:autoSpaceDE w:val="0"/>
        <w:autoSpaceDN w:val="0"/>
        <w:adjustRightInd w:val="0"/>
        <w:spacing w:before="120"/>
        <w:jc w:val="both"/>
        <w:rPr>
          <w:rFonts w:cs="Arial"/>
          <w:b/>
          <w:i/>
          <w:szCs w:val="26"/>
          <w:lang w:val="en-US"/>
        </w:rPr>
      </w:pPr>
      <w:r>
        <w:rPr>
          <w:rFonts w:cs="Arial"/>
          <w:b/>
          <w:i/>
          <w:szCs w:val="26"/>
          <w:lang w:val="en-US"/>
        </w:rPr>
        <w:t>Exam method</w:t>
      </w:r>
      <w:r w:rsidR="004D7613" w:rsidRPr="00C56109">
        <w:rPr>
          <w:rFonts w:cs="Arial"/>
          <w:b/>
          <w:i/>
          <w:szCs w:val="26"/>
          <w:lang w:val="en-US"/>
        </w:rPr>
        <w:t xml:space="preserve"> </w:t>
      </w:r>
    </w:p>
    <w:p w14:paraId="2BA4A4D3" w14:textId="77777777" w:rsidR="004D7613" w:rsidRPr="00C56109" w:rsidRDefault="00394D54" w:rsidP="004D7613">
      <w:pPr>
        <w:autoSpaceDE w:val="0"/>
        <w:autoSpaceDN w:val="0"/>
        <w:adjustRightInd w:val="0"/>
        <w:spacing w:before="120"/>
        <w:jc w:val="both"/>
        <w:rPr>
          <w:rFonts w:cs="Arial"/>
          <w:szCs w:val="26"/>
          <w:lang w:val="en-US"/>
        </w:rPr>
      </w:pPr>
      <w:r>
        <w:rPr>
          <w:rFonts w:cs="Arial"/>
          <w:szCs w:val="26"/>
          <w:lang w:val="en-US"/>
        </w:rPr>
        <w:t>Attending students</w:t>
      </w:r>
      <w:r w:rsidR="004D7613" w:rsidRPr="00C56109">
        <w:rPr>
          <w:rFonts w:cs="Arial"/>
          <w:szCs w:val="26"/>
          <w:lang w:val="en-US"/>
        </w:rPr>
        <w:t xml:space="preserve">: </w:t>
      </w:r>
      <w:r>
        <w:rPr>
          <w:rFonts w:cs="Arial"/>
          <w:szCs w:val="26"/>
          <w:lang w:val="en-US"/>
        </w:rPr>
        <w:t>oral exam on the program cove</w:t>
      </w:r>
      <w:r w:rsidR="00131EF6">
        <w:rPr>
          <w:rFonts w:cs="Arial"/>
          <w:szCs w:val="26"/>
          <w:lang w:val="en-US"/>
        </w:rPr>
        <w:t xml:space="preserve">red in class. Alternatively, </w:t>
      </w:r>
      <w:r>
        <w:rPr>
          <w:rFonts w:cs="Arial"/>
          <w:szCs w:val="26"/>
          <w:lang w:val="en-US"/>
        </w:rPr>
        <w:t xml:space="preserve">students have the possibility to </w:t>
      </w:r>
      <w:r w:rsidR="00131EF6">
        <w:rPr>
          <w:rFonts w:cs="Arial"/>
          <w:szCs w:val="26"/>
          <w:lang w:val="en-US"/>
        </w:rPr>
        <w:t>take</w:t>
      </w:r>
      <w:r>
        <w:rPr>
          <w:rFonts w:cs="Arial"/>
          <w:szCs w:val="26"/>
          <w:lang w:val="en-US"/>
        </w:rPr>
        <w:t xml:space="preserve"> a written exam</w:t>
      </w:r>
      <w:r w:rsidR="00131EF6">
        <w:rPr>
          <w:rFonts w:cs="Arial"/>
          <w:szCs w:val="26"/>
          <w:lang w:val="en-US"/>
        </w:rPr>
        <w:t xml:space="preserve"> before the beginning of the exam session. Students choosing the aforementioned option will be required to solve two practical cases. </w:t>
      </w:r>
    </w:p>
    <w:p w14:paraId="665404B2" w14:textId="72B48D92" w:rsidR="004D7613" w:rsidRPr="00C56109" w:rsidRDefault="00131EF6" w:rsidP="004D7613">
      <w:pPr>
        <w:autoSpaceDE w:val="0"/>
        <w:autoSpaceDN w:val="0"/>
        <w:adjustRightInd w:val="0"/>
        <w:spacing w:before="120"/>
        <w:jc w:val="both"/>
        <w:rPr>
          <w:rFonts w:cs="Arial"/>
          <w:szCs w:val="26"/>
          <w:lang w:val="en-US"/>
        </w:rPr>
      </w:pPr>
      <w:r>
        <w:rPr>
          <w:rFonts w:cs="Arial"/>
          <w:szCs w:val="26"/>
          <w:lang w:val="en-US"/>
        </w:rPr>
        <w:t>Non-attending students</w:t>
      </w:r>
      <w:r w:rsidR="004D7613" w:rsidRPr="00C56109">
        <w:rPr>
          <w:rFonts w:cs="Arial"/>
          <w:szCs w:val="26"/>
          <w:lang w:val="en-US"/>
        </w:rPr>
        <w:t xml:space="preserve">: </w:t>
      </w:r>
      <w:r>
        <w:rPr>
          <w:rFonts w:cs="Arial"/>
          <w:szCs w:val="26"/>
          <w:lang w:val="en-US"/>
        </w:rPr>
        <w:t>oral exam on the topics covered by the course textbook</w:t>
      </w:r>
      <w:r w:rsidR="00F65268">
        <w:rPr>
          <w:rFonts w:cs="Arial"/>
          <w:szCs w:val="26"/>
          <w:lang w:val="en-US"/>
        </w:rPr>
        <w:t>s</w:t>
      </w:r>
      <w:r w:rsidR="004D7613" w:rsidRPr="00C56109">
        <w:rPr>
          <w:rFonts w:cs="Arial"/>
          <w:szCs w:val="26"/>
          <w:lang w:val="en-US"/>
        </w:rPr>
        <w:t>.</w:t>
      </w:r>
    </w:p>
    <w:p w14:paraId="40451CE5" w14:textId="77777777" w:rsidR="00F3325C" w:rsidRPr="00C56109" w:rsidRDefault="00F3325C">
      <w:pPr>
        <w:rPr>
          <w:lang w:val="en-US"/>
        </w:rPr>
      </w:pPr>
    </w:p>
    <w:sectPr w:rsidR="00F3325C" w:rsidRPr="00C56109" w:rsidSect="004D7613">
      <w:pgSz w:w="11906" w:h="16838" w:code="9"/>
      <w:pgMar w:top="1797" w:right="2591" w:bottom="2157" w:left="2591" w:header="720" w:footer="29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13"/>
    <w:rsid w:val="00131EF6"/>
    <w:rsid w:val="002A51FF"/>
    <w:rsid w:val="00351D51"/>
    <w:rsid w:val="00394D54"/>
    <w:rsid w:val="004D7613"/>
    <w:rsid w:val="004E797F"/>
    <w:rsid w:val="005F63A9"/>
    <w:rsid w:val="006659F3"/>
    <w:rsid w:val="008B2467"/>
    <w:rsid w:val="009053A7"/>
    <w:rsid w:val="009C11B1"/>
    <w:rsid w:val="00A06AF3"/>
    <w:rsid w:val="00BB55A2"/>
    <w:rsid w:val="00C56109"/>
    <w:rsid w:val="00C66936"/>
    <w:rsid w:val="00CA2D15"/>
    <w:rsid w:val="00E0512F"/>
    <w:rsid w:val="00F3325C"/>
    <w:rsid w:val="00F6244F"/>
    <w:rsid w:val="00F6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D54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613"/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D7613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4D7613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613"/>
    <w:rPr>
      <w:rFonts w:ascii="Times New Roman" w:eastAsia="Times New Roman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D7613"/>
    <w:pPr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4D7613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9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3004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Verona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Ragno</dc:creator>
  <cp:lastModifiedBy>Direzione Informatica</cp:lastModifiedBy>
  <cp:revision>2</cp:revision>
  <dcterms:created xsi:type="dcterms:W3CDTF">2018-08-21T09:37:00Z</dcterms:created>
  <dcterms:modified xsi:type="dcterms:W3CDTF">2018-08-21T09:37:00Z</dcterms:modified>
</cp:coreProperties>
</file>