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8FCD8" w14:textId="77777777" w:rsidR="00FC6F56" w:rsidRDefault="00FC6F56">
      <w:pP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14:paraId="0358DE3D" w14:textId="77777777" w:rsidR="00531D05" w:rsidRDefault="00FC6F56">
      <w:pP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  <w:r w:rsidRPr="00FC6F56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LA</w:t>
      </w:r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 BORGHESIA RIVOLUZIONARIA</w:t>
      </w:r>
    </w:p>
    <w:p w14:paraId="03526FA1" w14:textId="77777777" w:rsidR="00FC6F56" w:rsidRDefault="00FC6F56">
      <w:pP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14:paraId="0C912013" w14:textId="77777777" w:rsidR="00FC6F56" w:rsidRPr="00FC6F56" w:rsidRDefault="00FC6F56" w:rsidP="00FC6F56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  <w:r w:rsidRPr="00FC6F56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La borghesia non può esistere senza rivoluzionare di continuo gli strumenti della produzione, il che vuol dire i modi e i rapporti della produzione, ossia, in ulti</w:t>
      </w:r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ma analisi, tutto l’insieme dei </w:t>
      </w:r>
      <w:r w:rsidRPr="00FC6F56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rapporti sociali. L’immutata conservazione dell’antico modo di produzione era la prima</w:t>
      </w:r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 </w:t>
      </w:r>
      <w:r w:rsidRPr="00FC6F56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condizione di esistenza delle vecchie classi industriali. Questo continuo sovvertimento della</w:t>
      </w:r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 </w:t>
      </w:r>
      <w:r w:rsidRPr="00FC6F56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produzione, questo ininterrotto scuotimento delle condizioni sociali, questo moto perpetuo, con l’insicurezza costante che </w:t>
      </w:r>
      <w:proofErr w:type="gramStart"/>
      <w:r w:rsidRPr="00FC6F56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l’</w:t>
      </w:r>
      <w:proofErr w:type="gramEnd"/>
      <w:r w:rsidRPr="00FC6F56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acc</w:t>
      </w:r>
      <w:bookmarkStart w:id="0" w:name="_GoBack"/>
      <w:bookmarkEnd w:id="0"/>
      <w:r w:rsidRPr="00FC6F56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ompagna, contraddistingue l’epoca borghese da tutte le altre che la precedettero. Tutti gli antichi e arrugginiti rapporti della vita, con tutto il loro seguito di opinioni e credenze ricevute e venerate per tradizione, si dissolvono; e i nuovi rapporti che subentrano invecchiano ancor prima di aver avuto il tempo di fissarsi e di consolidarsi. Tutto ciò che aveva carattere stabile e che rispondeva alla gerarchia dei ceti svanisce [</w:t>
      </w:r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Alle </w:t>
      </w:r>
      <w:proofErr w:type="spellStart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festen</w:t>
      </w:r>
      <w:proofErr w:type="spellEnd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eingerosteten</w:t>
      </w:r>
      <w:proofErr w:type="spellEnd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Verhältnisse</w:t>
      </w:r>
      <w:proofErr w:type="spellEnd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mit</w:t>
      </w:r>
      <w:proofErr w:type="spellEnd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ihrem</w:t>
      </w:r>
      <w:proofErr w:type="spellEnd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Gefolge</w:t>
      </w:r>
      <w:proofErr w:type="spellEnd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 von </w:t>
      </w:r>
      <w:proofErr w:type="spellStart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altehrwürdigen</w:t>
      </w:r>
      <w:proofErr w:type="spellEnd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Vorstellungen</w:t>
      </w:r>
      <w:proofErr w:type="spellEnd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 und </w:t>
      </w:r>
      <w:proofErr w:type="spellStart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Anschauungen</w:t>
      </w:r>
      <w:proofErr w:type="spellEnd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werden</w:t>
      </w:r>
      <w:proofErr w:type="spellEnd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 w:rsidRPr="00FC6F56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aufgelöst</w:t>
      </w:r>
      <w:proofErr w:type="spellEnd"/>
      <w:r w:rsidRPr="00FC6F56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] tutto ciò che era sacro </w:t>
      </w:r>
      <w:proofErr w:type="gramStart"/>
      <w:r w:rsidRPr="00FC6F56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viene</w:t>
      </w:r>
      <w:proofErr w:type="gramEnd"/>
      <w:r w:rsidRPr="00FC6F56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 profanato, e gli uomini si trovano alla fine a dover considerare le loro condizioni di esistenza con occhi liberi da ogni illusione.</w:t>
      </w:r>
    </w:p>
    <w:p w14:paraId="36882F4E" w14:textId="77777777" w:rsidR="00FC6F56" w:rsidRDefault="00FC6F56">
      <w:pP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14:paraId="218B88DD" w14:textId="77777777" w:rsidR="00FC6F56" w:rsidRPr="00FC6F56" w:rsidRDefault="00FC6F56">
      <w:pP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  <w:proofErr w:type="gramStart"/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K.</w:t>
      </w:r>
      <w:proofErr w:type="gramEnd"/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 MARX – F. ENGELS, </w:t>
      </w:r>
      <w:r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Manifesto del partito comunista </w:t>
      </w:r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(1848)</w:t>
      </w:r>
    </w:p>
    <w:p w14:paraId="010E400F" w14:textId="77777777" w:rsidR="00FC6F56" w:rsidRDefault="00FC6F56">
      <w:pPr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</w:pPr>
    </w:p>
    <w:p w14:paraId="1ABC34A7" w14:textId="77777777" w:rsidR="00FC6F56" w:rsidRDefault="00FC6F56">
      <w:pPr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</w:pPr>
    </w:p>
    <w:p w14:paraId="413C9CCC" w14:textId="77777777" w:rsidR="00FC6F56" w:rsidRDefault="00FC6F56">
      <w:pPr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</w:pPr>
    </w:p>
    <w:p w14:paraId="4D5810F1" w14:textId="77777777" w:rsidR="00FC6F56" w:rsidRDefault="00FC6F56">
      <w:pPr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</w:pPr>
    </w:p>
    <w:p w14:paraId="468ED301" w14:textId="77777777" w:rsidR="00FC6F56" w:rsidRDefault="00FC6F56">
      <w:pP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LA SINTESI CONNETTIVA DELLA PRODUZIONE</w:t>
      </w:r>
    </w:p>
    <w:p w14:paraId="7041A4F4" w14:textId="77777777" w:rsidR="00FC6F56" w:rsidRDefault="00FC6F56">
      <w:pP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14:paraId="21620B72" w14:textId="77777777" w:rsidR="00FC6F56" w:rsidRDefault="00FC6F56">
      <w:pP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noProof/>
          <w:color w:val="2B2A2A"/>
          <w:sz w:val="27"/>
          <w:szCs w:val="27"/>
          <w:shd w:val="clear" w:color="auto" w:fill="FFFFFF"/>
        </w:rPr>
        <w:drawing>
          <wp:inline distT="0" distB="0" distL="0" distR="0" wp14:anchorId="49DA7F15" wp14:editId="5E4A18F3">
            <wp:extent cx="6655168" cy="2273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168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CFFB" w14:textId="77777777" w:rsidR="00FC6F56" w:rsidRDefault="00FC6F56">
      <w:pP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14:paraId="2F00B989" w14:textId="77777777" w:rsidR="00FC6F56" w:rsidRPr="00FC6F56" w:rsidRDefault="00FC6F56">
      <w:pP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R. GOLDBERG, </w:t>
      </w:r>
      <w:r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Self-</w:t>
      </w:r>
      <w:proofErr w:type="spellStart"/>
      <w:r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operating</w:t>
      </w:r>
      <w:proofErr w:type="spellEnd"/>
      <w:r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napkin</w:t>
      </w:r>
      <w:proofErr w:type="spellEnd"/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 (1931)</w:t>
      </w:r>
    </w:p>
    <w:sectPr w:rsidR="00FC6F56" w:rsidRPr="00FC6F56" w:rsidSect="00DE2E37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5ACEE" w14:textId="77777777" w:rsidR="00FC6F56" w:rsidRDefault="00FC6F56" w:rsidP="00FC6F56">
      <w:r>
        <w:separator/>
      </w:r>
    </w:p>
  </w:endnote>
  <w:endnote w:type="continuationSeparator" w:id="0">
    <w:p w14:paraId="1F76D9FB" w14:textId="77777777" w:rsidR="00FC6F56" w:rsidRDefault="00FC6F56" w:rsidP="00FC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C17B0" w14:textId="77777777" w:rsidR="00FC6F56" w:rsidRDefault="00FC6F56" w:rsidP="00FC6F56">
      <w:r>
        <w:separator/>
      </w:r>
    </w:p>
  </w:footnote>
  <w:footnote w:type="continuationSeparator" w:id="0">
    <w:p w14:paraId="7E99DE30" w14:textId="77777777" w:rsidR="00FC6F56" w:rsidRDefault="00FC6F56" w:rsidP="00FC6F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635F" w14:textId="77777777" w:rsidR="00FC6F56" w:rsidRPr="00FC6F56" w:rsidRDefault="00FC6F56" w:rsidP="00FC6F56">
    <w:pPr>
      <w:pStyle w:val="Intestazione"/>
      <w:jc w:val="center"/>
      <w:rPr>
        <w:i/>
      </w:rPr>
    </w:pPr>
    <w:r>
      <w:t>L</w:t>
    </w:r>
    <w:r w:rsidR="00D15921">
      <w:t>aboratorio di l</w:t>
    </w:r>
    <w:r>
      <w:t xml:space="preserve">ettura su </w:t>
    </w:r>
    <w:r>
      <w:rPr>
        <w:i/>
      </w:rPr>
      <w:t>L’anti-Edipo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56"/>
    <w:rsid w:val="00531D05"/>
    <w:rsid w:val="00D15921"/>
    <w:rsid w:val="00DE2E37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8C6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F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C6F5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C6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C6F56"/>
  </w:style>
  <w:style w:type="paragraph" w:styleId="Pidipagina">
    <w:name w:val="footer"/>
    <w:basedOn w:val="Normale"/>
    <w:link w:val="PidipaginaCarattere"/>
    <w:uiPriority w:val="99"/>
    <w:unhideWhenUsed/>
    <w:rsid w:val="00FC6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C6F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F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C6F5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C6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C6F56"/>
  </w:style>
  <w:style w:type="paragraph" w:styleId="Pidipagina">
    <w:name w:val="footer"/>
    <w:basedOn w:val="Normale"/>
    <w:link w:val="PidipaginaCarattere"/>
    <w:uiPriority w:val="99"/>
    <w:unhideWhenUsed/>
    <w:rsid w:val="00FC6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C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1198</Characters>
  <Application>Microsoft Macintosh Word</Application>
  <DocSecurity>0</DocSecurity>
  <Lines>9</Lines>
  <Paragraphs>2</Paragraphs>
  <ScaleCrop>false</ScaleCrop>
  <Company>Univr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Tuppini</dc:creator>
  <cp:keywords/>
  <dc:description/>
  <cp:lastModifiedBy>Tommaso Tuppini</cp:lastModifiedBy>
  <cp:revision>2</cp:revision>
  <dcterms:created xsi:type="dcterms:W3CDTF">2015-11-17T08:54:00Z</dcterms:created>
  <dcterms:modified xsi:type="dcterms:W3CDTF">2015-11-17T09:12:00Z</dcterms:modified>
</cp:coreProperties>
</file>