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3050" w:rsidRPr="003C6A6B" w:rsidRDefault="003C6A6B">
      <w:pPr>
        <w:tabs>
          <w:tab w:val="right" w:pos="9781"/>
        </w:tabs>
        <w:jc w:val="both"/>
        <w:rPr>
          <w:rFonts w:ascii="Arial" w:eastAsia="MS Mincho" w:hAnsi="Arial" w:cs="Arial"/>
          <w:b/>
          <w:bCs/>
          <w:color w:val="000000"/>
          <w:sz w:val="20"/>
          <w:szCs w:val="20"/>
          <w:lang w:val="en-US"/>
        </w:rPr>
      </w:pPr>
      <w:r w:rsidRPr="003C6A6B">
        <w:rPr>
          <w:rFonts w:ascii="Arial" w:eastAsia="MS Mincho" w:hAnsi="Arial" w:cs="Arial"/>
          <w:b/>
          <w:bCs/>
          <w:color w:val="000000"/>
          <w:sz w:val="20"/>
          <w:szCs w:val="20"/>
          <w:lang w:val="en-US"/>
        </w:rPr>
        <w:t xml:space="preserve">Annex 1 - Declaration for PNRR grants DD.MM. </w:t>
      </w:r>
      <w:r w:rsidR="00223E18">
        <w:rPr>
          <w:rFonts w:ascii="Arial" w:eastAsia="MS Mincho" w:hAnsi="Arial" w:cs="Arial"/>
          <w:b/>
          <w:bCs/>
          <w:color w:val="000000"/>
          <w:sz w:val="20"/>
          <w:szCs w:val="20"/>
          <w:lang w:val="en-US"/>
        </w:rPr>
        <w:t>629</w:t>
      </w:r>
      <w:r w:rsidRPr="003C6A6B">
        <w:rPr>
          <w:rFonts w:ascii="Arial" w:eastAsia="MS Mincho" w:hAnsi="Arial" w:cs="Arial"/>
          <w:b/>
          <w:bCs/>
          <w:color w:val="000000"/>
          <w:sz w:val="20"/>
          <w:szCs w:val="20"/>
          <w:lang w:val="en-US"/>
        </w:rPr>
        <w:t xml:space="preserve"> and </w:t>
      </w:r>
      <w:r w:rsidR="00223E18">
        <w:rPr>
          <w:rFonts w:ascii="Arial" w:eastAsia="MS Mincho" w:hAnsi="Arial" w:cs="Arial"/>
          <w:b/>
          <w:bCs/>
          <w:color w:val="000000"/>
          <w:sz w:val="20"/>
          <w:szCs w:val="20"/>
          <w:lang w:val="en-US"/>
        </w:rPr>
        <w:t>630</w:t>
      </w:r>
      <w:r w:rsidRPr="003C6A6B">
        <w:rPr>
          <w:rFonts w:ascii="Arial" w:eastAsia="MS Mincho" w:hAnsi="Arial" w:cs="Arial"/>
          <w:b/>
          <w:bCs/>
          <w:color w:val="000000"/>
          <w:sz w:val="20"/>
          <w:szCs w:val="20"/>
          <w:lang w:val="en-US"/>
        </w:rPr>
        <w:t xml:space="preserve"> of 2</w:t>
      </w:r>
      <w:r w:rsidR="00223E18">
        <w:rPr>
          <w:rFonts w:ascii="Arial" w:eastAsia="MS Mincho" w:hAnsi="Arial" w:cs="Arial"/>
          <w:b/>
          <w:bCs/>
          <w:color w:val="000000"/>
          <w:sz w:val="20"/>
          <w:szCs w:val="20"/>
          <w:lang w:val="en-US"/>
        </w:rPr>
        <w:t>4</w:t>
      </w:r>
      <w:r w:rsidRPr="003C6A6B">
        <w:rPr>
          <w:rFonts w:ascii="Arial" w:eastAsia="MS Mincho" w:hAnsi="Arial" w:cs="Arial"/>
          <w:b/>
          <w:bCs/>
          <w:color w:val="000000"/>
          <w:sz w:val="20"/>
          <w:szCs w:val="20"/>
          <w:lang w:val="en-US"/>
        </w:rPr>
        <w:t>.0</w:t>
      </w:r>
      <w:r w:rsidR="00223E18">
        <w:rPr>
          <w:rFonts w:ascii="Arial" w:eastAsia="MS Mincho" w:hAnsi="Arial" w:cs="Arial"/>
          <w:b/>
          <w:bCs/>
          <w:color w:val="000000"/>
          <w:sz w:val="20"/>
          <w:szCs w:val="20"/>
          <w:lang w:val="en-US"/>
        </w:rPr>
        <w:t>4</w:t>
      </w:r>
      <w:r w:rsidRPr="003C6A6B">
        <w:rPr>
          <w:rFonts w:ascii="Arial" w:eastAsia="MS Mincho" w:hAnsi="Arial" w:cs="Arial"/>
          <w:b/>
          <w:bCs/>
          <w:color w:val="000000"/>
          <w:sz w:val="20"/>
          <w:szCs w:val="20"/>
          <w:lang w:val="en-US"/>
        </w:rPr>
        <w:t>.202</w:t>
      </w:r>
      <w:r w:rsidR="00223E18">
        <w:rPr>
          <w:rFonts w:ascii="Arial" w:eastAsia="MS Mincho" w:hAnsi="Arial" w:cs="Arial"/>
          <w:b/>
          <w:bCs/>
          <w:color w:val="000000"/>
          <w:sz w:val="20"/>
          <w:szCs w:val="20"/>
          <w:lang w:val="en-US"/>
        </w:rPr>
        <w:t>4</w:t>
      </w:r>
    </w:p>
    <w:p w:rsidR="00223E18" w:rsidRPr="00223E18" w:rsidRDefault="003C6A6B" w:rsidP="00223E18">
      <w:pPr>
        <w:tabs>
          <w:tab w:val="right" w:pos="9781"/>
        </w:tabs>
        <w:jc w:val="both"/>
        <w:rPr>
          <w:rFonts w:ascii="Arial" w:hAnsi="Arial" w:cs="Arial"/>
          <w:i/>
          <w:sz w:val="18"/>
          <w:szCs w:val="18"/>
          <w:lang w:val="en-US"/>
        </w:rPr>
      </w:pPr>
      <w:r w:rsidRPr="003C6A6B">
        <w:rPr>
          <w:rFonts w:ascii="Arial" w:hAnsi="Arial" w:cs="Arial"/>
          <w:i/>
          <w:sz w:val="18"/>
          <w:szCs w:val="18"/>
          <w:lang w:val="en-US"/>
        </w:rPr>
        <w:t>Any information provided in this application constitutes a declaration in lieu of certification pursuant to Presidential Decree No. 445/2000. The candidate declares to be aware of the penalties laid down in art. 496 of the penal code for false declarations.</w:t>
      </w:r>
    </w:p>
    <w:p w:rsidR="00223E18" w:rsidRPr="00223E18" w:rsidRDefault="00223E18" w:rsidP="00223E18">
      <w:pPr>
        <w:suppressAutoHyphens w:val="0"/>
        <w:autoSpaceDE w:val="0"/>
        <w:autoSpaceDN w:val="0"/>
        <w:adjustRightInd w:val="0"/>
        <w:spacing w:after="0" w:line="240" w:lineRule="auto"/>
        <w:jc w:val="center"/>
        <w:rPr>
          <w:rFonts w:ascii="Arial" w:hAnsi="Arial" w:cs="Arial"/>
          <w:color w:val="000000"/>
          <w:sz w:val="20"/>
          <w:szCs w:val="20"/>
        </w:rPr>
      </w:pPr>
      <w:r w:rsidRPr="00223E18">
        <w:rPr>
          <w:rFonts w:ascii="Arial" w:hAnsi="Arial" w:cs="Arial"/>
          <w:b/>
          <w:bCs/>
          <w:color w:val="000000"/>
          <w:sz w:val="20"/>
          <w:szCs w:val="20"/>
        </w:rPr>
        <w:t>Conferimento di n. 31 borse di Dottorato di Ricerca di cui n. 25 finanziate su fondi PNRR ex D.M. 629/2024 e 630/2024 e n. 6 finanziate da altri Enti pubblici e privati</w:t>
      </w:r>
    </w:p>
    <w:p w:rsidR="00223E18" w:rsidRPr="00223E18" w:rsidRDefault="00223E18" w:rsidP="00223E18">
      <w:pPr>
        <w:suppressAutoHyphens w:val="0"/>
        <w:autoSpaceDE w:val="0"/>
        <w:autoSpaceDN w:val="0"/>
        <w:adjustRightInd w:val="0"/>
        <w:spacing w:after="0" w:line="240" w:lineRule="auto"/>
        <w:jc w:val="center"/>
        <w:rPr>
          <w:rFonts w:ascii="Arial" w:hAnsi="Arial" w:cs="Arial"/>
          <w:color w:val="000000"/>
          <w:sz w:val="20"/>
          <w:szCs w:val="20"/>
        </w:rPr>
      </w:pPr>
      <w:r w:rsidRPr="00223E18">
        <w:rPr>
          <w:rFonts w:ascii="Arial" w:hAnsi="Arial" w:cs="Arial"/>
          <w:b/>
          <w:bCs/>
          <w:color w:val="000000"/>
          <w:sz w:val="20"/>
          <w:szCs w:val="20"/>
        </w:rPr>
        <w:t>Bando di Concorso per l'ammissione ai Corsi di Dottorato di Ricerca</w:t>
      </w:r>
    </w:p>
    <w:p w:rsidR="00FE3050" w:rsidRPr="003C6A6B" w:rsidRDefault="00223E18" w:rsidP="00223E18">
      <w:pPr>
        <w:spacing w:after="0" w:line="240" w:lineRule="auto"/>
        <w:jc w:val="center"/>
        <w:rPr>
          <w:rFonts w:ascii="Arial" w:hAnsi="Arial" w:cs="Arial"/>
          <w:color w:val="000000"/>
          <w:sz w:val="20"/>
          <w:szCs w:val="20"/>
          <w:lang w:val="en-US"/>
        </w:rPr>
      </w:pPr>
      <w:r w:rsidRPr="00223E18">
        <w:rPr>
          <w:rFonts w:ascii="Arial" w:hAnsi="Arial" w:cs="Arial"/>
          <w:b/>
          <w:bCs/>
          <w:color w:val="000000"/>
          <w:sz w:val="20"/>
          <w:szCs w:val="20"/>
        </w:rPr>
        <w:t>XL ciclo, anno accademico 2024/2025</w:t>
      </w:r>
    </w:p>
    <w:p w:rsidR="00223E18" w:rsidRDefault="00223E18">
      <w:pPr>
        <w:jc w:val="center"/>
        <w:rPr>
          <w:b/>
          <w:lang w:val="en-US"/>
        </w:rPr>
      </w:pPr>
    </w:p>
    <w:p w:rsidR="00FE3050" w:rsidRPr="003C6A6B" w:rsidRDefault="003C6A6B">
      <w:pPr>
        <w:jc w:val="center"/>
        <w:rPr>
          <w:b/>
          <w:lang w:val="en-US"/>
        </w:rPr>
      </w:pPr>
      <w:r w:rsidRPr="003C6A6B">
        <w:rPr>
          <w:b/>
          <w:lang w:val="en-US"/>
        </w:rPr>
        <w:t>DECLARATION</w:t>
      </w:r>
    </w:p>
    <w:p w:rsidR="00FE3050" w:rsidRPr="003C6A6B" w:rsidRDefault="003C6A6B">
      <w:pPr>
        <w:jc w:val="both"/>
        <w:rPr>
          <w:rFonts w:ascii="Arial" w:hAnsi="Arial" w:cs="Arial"/>
          <w:sz w:val="20"/>
          <w:szCs w:val="20"/>
          <w:lang w:val="en-US"/>
        </w:rPr>
      </w:pPr>
      <w:r w:rsidRPr="003C6A6B">
        <w:rPr>
          <w:rFonts w:ascii="Arial" w:hAnsi="Arial" w:cs="Arial"/>
          <w:sz w:val="20"/>
          <w:szCs w:val="20"/>
          <w:lang w:val="en-US"/>
        </w:rPr>
        <w:t xml:space="preserve">in compliance with the provisions of DD.MM. </w:t>
      </w:r>
      <w:r w:rsidR="00223E18">
        <w:rPr>
          <w:rFonts w:ascii="Arial" w:hAnsi="Arial" w:cs="Arial"/>
          <w:sz w:val="20"/>
          <w:szCs w:val="20"/>
          <w:lang w:val="en-US"/>
        </w:rPr>
        <w:t xml:space="preserve">629 </w:t>
      </w:r>
      <w:r w:rsidRPr="003C6A6B">
        <w:rPr>
          <w:rFonts w:ascii="Arial" w:hAnsi="Arial" w:cs="Arial"/>
          <w:sz w:val="20"/>
          <w:szCs w:val="20"/>
          <w:lang w:val="en-US"/>
        </w:rPr>
        <w:t xml:space="preserve">and </w:t>
      </w:r>
      <w:r w:rsidR="00223E18">
        <w:rPr>
          <w:rFonts w:ascii="Arial" w:hAnsi="Arial" w:cs="Arial"/>
          <w:sz w:val="20"/>
          <w:szCs w:val="20"/>
          <w:lang w:val="en-US"/>
        </w:rPr>
        <w:t>630</w:t>
      </w:r>
      <w:r w:rsidRPr="003C6A6B">
        <w:rPr>
          <w:rFonts w:ascii="Arial" w:hAnsi="Arial" w:cs="Arial"/>
          <w:sz w:val="20"/>
          <w:szCs w:val="20"/>
          <w:lang w:val="en-US"/>
        </w:rPr>
        <w:t xml:space="preserve"> of 2</w:t>
      </w:r>
      <w:r w:rsidR="00223E18">
        <w:rPr>
          <w:rFonts w:ascii="Arial" w:hAnsi="Arial" w:cs="Arial"/>
          <w:sz w:val="20"/>
          <w:szCs w:val="20"/>
          <w:lang w:val="en-US"/>
        </w:rPr>
        <w:t>4</w:t>
      </w:r>
      <w:r w:rsidRPr="003C6A6B">
        <w:rPr>
          <w:rFonts w:ascii="Arial" w:hAnsi="Arial" w:cs="Arial"/>
          <w:sz w:val="20"/>
          <w:szCs w:val="20"/>
          <w:lang w:val="en-US"/>
        </w:rPr>
        <w:t xml:space="preserve"> </w:t>
      </w:r>
      <w:r w:rsidR="00223E18">
        <w:rPr>
          <w:rFonts w:ascii="Arial" w:hAnsi="Arial" w:cs="Arial"/>
          <w:sz w:val="20"/>
          <w:szCs w:val="20"/>
          <w:lang w:val="en-US"/>
        </w:rPr>
        <w:t>April</w:t>
      </w:r>
      <w:r w:rsidRPr="003C6A6B">
        <w:rPr>
          <w:rFonts w:ascii="Arial" w:hAnsi="Arial" w:cs="Arial"/>
          <w:sz w:val="20"/>
          <w:szCs w:val="20"/>
          <w:lang w:val="en-US"/>
        </w:rPr>
        <w:t xml:space="preserve"> 202</w:t>
      </w:r>
      <w:r w:rsidR="00223E18">
        <w:rPr>
          <w:rFonts w:ascii="Arial" w:hAnsi="Arial" w:cs="Arial"/>
          <w:sz w:val="20"/>
          <w:szCs w:val="20"/>
          <w:lang w:val="en-US"/>
        </w:rPr>
        <w:t>4</w:t>
      </w:r>
      <w:r w:rsidRPr="003C6A6B">
        <w:rPr>
          <w:rFonts w:ascii="Arial" w:hAnsi="Arial" w:cs="Arial"/>
          <w:sz w:val="20"/>
          <w:szCs w:val="20"/>
          <w:lang w:val="en-US"/>
        </w:rPr>
        <w:t>, the undersigned __________________________ born in __________________________________________ on _</w:t>
      </w:r>
      <w:r w:rsidR="00223E18">
        <w:rPr>
          <w:rFonts w:ascii="Arial" w:hAnsi="Arial" w:cs="Arial"/>
          <w:sz w:val="20"/>
          <w:szCs w:val="20"/>
          <w:lang w:val="en-US"/>
        </w:rPr>
        <w:t>_______</w:t>
      </w:r>
    </w:p>
    <w:p w:rsidR="00FE3050" w:rsidRDefault="003C6A6B">
      <w:pPr>
        <w:jc w:val="both"/>
        <w:rPr>
          <w:rFonts w:ascii="Arial" w:hAnsi="Arial" w:cs="Arial"/>
          <w:sz w:val="20"/>
          <w:szCs w:val="20"/>
        </w:rPr>
      </w:pPr>
      <w:proofErr w:type="spellStart"/>
      <w:r>
        <w:rPr>
          <w:rFonts w:ascii="Arial" w:hAnsi="Arial" w:cs="Arial"/>
          <w:sz w:val="20"/>
          <w:szCs w:val="20"/>
        </w:rPr>
        <w:t>declares</w:t>
      </w:r>
      <w:proofErr w:type="spellEnd"/>
      <w:r>
        <w:rPr>
          <w:rFonts w:ascii="Arial" w:hAnsi="Arial" w:cs="Arial"/>
          <w:sz w:val="20"/>
          <w:szCs w:val="20"/>
        </w:rPr>
        <w:t xml:space="preserve"> to be </w:t>
      </w:r>
      <w:proofErr w:type="spellStart"/>
      <w:r>
        <w:rPr>
          <w:rFonts w:ascii="Arial" w:hAnsi="Arial" w:cs="Arial"/>
          <w:sz w:val="20"/>
          <w:szCs w:val="20"/>
        </w:rPr>
        <w:t>aware</w:t>
      </w:r>
      <w:proofErr w:type="spellEnd"/>
      <w:r>
        <w:rPr>
          <w:rFonts w:ascii="Arial" w:hAnsi="Arial" w:cs="Arial"/>
          <w:sz w:val="20"/>
          <w:szCs w:val="20"/>
        </w:rPr>
        <w:t>:</w:t>
      </w:r>
    </w:p>
    <w:p w:rsidR="00FE3050" w:rsidRPr="003C6A6B" w:rsidRDefault="003C6A6B">
      <w:pPr>
        <w:pStyle w:val="Paragrafoelenco"/>
        <w:numPr>
          <w:ilvl w:val="0"/>
          <w:numId w:val="1"/>
        </w:numPr>
        <w:jc w:val="both"/>
        <w:rPr>
          <w:rFonts w:ascii="Arial" w:hAnsi="Arial" w:cs="Arial"/>
          <w:sz w:val="20"/>
          <w:szCs w:val="20"/>
          <w:lang w:val="en-US"/>
        </w:rPr>
      </w:pPr>
      <w:r w:rsidRPr="003C6A6B">
        <w:rPr>
          <w:rFonts w:ascii="Arial" w:hAnsi="Arial" w:cs="Arial"/>
          <w:sz w:val="20"/>
          <w:szCs w:val="20"/>
          <w:lang w:val="en-US"/>
        </w:rPr>
        <w:t xml:space="preserve">of the contents of DD.MM. </w:t>
      </w:r>
      <w:r w:rsidR="00223E18">
        <w:rPr>
          <w:rFonts w:ascii="Arial" w:hAnsi="Arial" w:cs="Arial"/>
          <w:sz w:val="20"/>
          <w:szCs w:val="20"/>
          <w:lang w:val="en-US"/>
        </w:rPr>
        <w:t>629</w:t>
      </w:r>
      <w:r w:rsidRPr="003C6A6B">
        <w:rPr>
          <w:rFonts w:ascii="Arial" w:hAnsi="Arial" w:cs="Arial"/>
          <w:sz w:val="20"/>
          <w:szCs w:val="20"/>
          <w:lang w:val="en-US"/>
        </w:rPr>
        <w:t xml:space="preserve"> and </w:t>
      </w:r>
      <w:r w:rsidR="00223E18">
        <w:rPr>
          <w:rFonts w:ascii="Arial" w:hAnsi="Arial" w:cs="Arial"/>
          <w:sz w:val="20"/>
          <w:szCs w:val="20"/>
          <w:lang w:val="en-US"/>
        </w:rPr>
        <w:t>630</w:t>
      </w:r>
      <w:r w:rsidRPr="003C6A6B">
        <w:rPr>
          <w:rFonts w:ascii="Arial" w:hAnsi="Arial" w:cs="Arial"/>
          <w:sz w:val="20"/>
          <w:szCs w:val="20"/>
          <w:lang w:val="en-US"/>
        </w:rPr>
        <w:t xml:space="preserve"> of 2</w:t>
      </w:r>
      <w:r w:rsidR="00223E18">
        <w:rPr>
          <w:rFonts w:ascii="Arial" w:hAnsi="Arial" w:cs="Arial"/>
          <w:sz w:val="20"/>
          <w:szCs w:val="20"/>
          <w:lang w:val="en-US"/>
        </w:rPr>
        <w:t>4</w:t>
      </w:r>
      <w:r w:rsidRPr="003C6A6B">
        <w:rPr>
          <w:rFonts w:ascii="Arial" w:hAnsi="Arial" w:cs="Arial"/>
          <w:sz w:val="20"/>
          <w:szCs w:val="20"/>
          <w:lang w:val="en-US"/>
        </w:rPr>
        <w:t xml:space="preserve"> </w:t>
      </w:r>
      <w:r w:rsidR="00223E18">
        <w:rPr>
          <w:rFonts w:ascii="Arial" w:hAnsi="Arial" w:cs="Arial"/>
          <w:sz w:val="20"/>
          <w:szCs w:val="20"/>
          <w:lang w:val="en-US"/>
        </w:rPr>
        <w:t xml:space="preserve">April </w:t>
      </w:r>
      <w:r w:rsidRPr="003C6A6B">
        <w:rPr>
          <w:rFonts w:ascii="Arial" w:hAnsi="Arial" w:cs="Arial"/>
          <w:sz w:val="20"/>
          <w:szCs w:val="20"/>
          <w:lang w:val="en-US"/>
        </w:rPr>
        <w:t>202</w:t>
      </w:r>
      <w:r w:rsidR="00223E18">
        <w:rPr>
          <w:rFonts w:ascii="Arial" w:hAnsi="Arial" w:cs="Arial"/>
          <w:sz w:val="20"/>
          <w:szCs w:val="20"/>
          <w:lang w:val="en-US"/>
        </w:rPr>
        <w:t>4</w:t>
      </w:r>
      <w:r w:rsidRPr="003C6A6B">
        <w:rPr>
          <w:rFonts w:ascii="Arial" w:hAnsi="Arial" w:cs="Arial"/>
          <w:sz w:val="20"/>
          <w:szCs w:val="20"/>
          <w:lang w:val="en-US"/>
        </w:rPr>
        <w:t>;</w:t>
      </w:r>
    </w:p>
    <w:p w:rsidR="00FE3050" w:rsidRPr="003C6A6B" w:rsidRDefault="003C6A6B">
      <w:pPr>
        <w:pStyle w:val="Paragrafoelenco"/>
        <w:numPr>
          <w:ilvl w:val="0"/>
          <w:numId w:val="1"/>
        </w:numPr>
        <w:jc w:val="both"/>
        <w:rPr>
          <w:rFonts w:ascii="Arial" w:hAnsi="Arial" w:cs="Arial"/>
          <w:sz w:val="20"/>
          <w:szCs w:val="20"/>
          <w:lang w:val="en-US"/>
        </w:rPr>
      </w:pPr>
      <w:r w:rsidRPr="003C6A6B">
        <w:rPr>
          <w:rFonts w:ascii="Arial" w:hAnsi="Arial" w:cs="Arial"/>
          <w:sz w:val="20"/>
          <w:szCs w:val="20"/>
          <w:lang w:val="en-US"/>
        </w:rPr>
        <w:t xml:space="preserve">that acceptance of one of the scholarships covered by this Notice implies the performance of a period of study and research in a company/public body/other entity (as specified in Attachment 1 of the </w:t>
      </w:r>
      <w:r>
        <w:rPr>
          <w:rFonts w:ascii="Arial" w:hAnsi="Arial" w:cs="Arial"/>
          <w:sz w:val="20"/>
          <w:szCs w:val="20"/>
          <w:lang w:val="en-US"/>
        </w:rPr>
        <w:t>Call of Admissions</w:t>
      </w:r>
      <w:r w:rsidRPr="003C6A6B">
        <w:rPr>
          <w:rFonts w:ascii="Arial" w:hAnsi="Arial" w:cs="Arial"/>
          <w:sz w:val="20"/>
          <w:szCs w:val="20"/>
          <w:lang w:val="en-US"/>
        </w:rPr>
        <w:t xml:space="preserve">) from a minimum of 6 to a maximum of 12 months for places under Ministerial Decree </w:t>
      </w:r>
      <w:r w:rsidR="00223E18">
        <w:rPr>
          <w:rFonts w:ascii="Arial" w:hAnsi="Arial" w:cs="Arial"/>
          <w:sz w:val="20"/>
          <w:szCs w:val="20"/>
          <w:lang w:val="en-US"/>
        </w:rPr>
        <w:t>629</w:t>
      </w:r>
      <w:r w:rsidRPr="003C6A6B">
        <w:rPr>
          <w:rFonts w:ascii="Arial" w:hAnsi="Arial" w:cs="Arial"/>
          <w:sz w:val="20"/>
          <w:szCs w:val="20"/>
          <w:lang w:val="en-US"/>
        </w:rPr>
        <w:t>/202</w:t>
      </w:r>
      <w:r w:rsidR="00223E18">
        <w:rPr>
          <w:rFonts w:ascii="Arial" w:hAnsi="Arial" w:cs="Arial"/>
          <w:sz w:val="20"/>
          <w:szCs w:val="20"/>
          <w:lang w:val="en-US"/>
        </w:rPr>
        <w:t>4</w:t>
      </w:r>
      <w:r w:rsidRPr="003C6A6B">
        <w:rPr>
          <w:rFonts w:ascii="Arial" w:hAnsi="Arial" w:cs="Arial"/>
          <w:sz w:val="20"/>
          <w:szCs w:val="20"/>
          <w:lang w:val="en-US"/>
        </w:rPr>
        <w:t xml:space="preserve"> and from 6 to a maximum of 18 months for places under Ministerial Decree </w:t>
      </w:r>
      <w:r w:rsidR="00223E18">
        <w:rPr>
          <w:rFonts w:ascii="Arial" w:hAnsi="Arial" w:cs="Arial"/>
          <w:sz w:val="20"/>
          <w:szCs w:val="20"/>
          <w:lang w:val="en-US"/>
        </w:rPr>
        <w:t>630</w:t>
      </w:r>
      <w:r w:rsidRPr="003C6A6B">
        <w:rPr>
          <w:rFonts w:ascii="Arial" w:hAnsi="Arial" w:cs="Arial"/>
          <w:sz w:val="20"/>
          <w:szCs w:val="20"/>
          <w:lang w:val="en-US"/>
        </w:rPr>
        <w:t>/202</w:t>
      </w:r>
      <w:r w:rsidR="00223E18">
        <w:rPr>
          <w:rFonts w:ascii="Arial" w:hAnsi="Arial" w:cs="Arial"/>
          <w:sz w:val="20"/>
          <w:szCs w:val="20"/>
          <w:lang w:val="en-US"/>
        </w:rPr>
        <w:t>4</w:t>
      </w:r>
      <w:r w:rsidRPr="003C6A6B">
        <w:rPr>
          <w:rFonts w:ascii="Arial" w:hAnsi="Arial" w:cs="Arial"/>
          <w:sz w:val="20"/>
          <w:szCs w:val="20"/>
          <w:lang w:val="en-US"/>
        </w:rPr>
        <w:t xml:space="preserve"> and that failure to comply with this obligation will result in the revocation of the scholarship. </w:t>
      </w:r>
    </w:p>
    <w:p w:rsidR="00FE3050" w:rsidRPr="003C6A6B" w:rsidRDefault="003C6A6B">
      <w:pPr>
        <w:pStyle w:val="Paragrafoelenco"/>
        <w:numPr>
          <w:ilvl w:val="0"/>
          <w:numId w:val="1"/>
        </w:numPr>
        <w:rPr>
          <w:rFonts w:ascii="Arial" w:hAnsi="Arial" w:cs="Arial"/>
          <w:sz w:val="20"/>
          <w:szCs w:val="20"/>
          <w:lang w:val="en-US"/>
        </w:rPr>
      </w:pPr>
      <w:r w:rsidRPr="003C6A6B">
        <w:rPr>
          <w:rFonts w:ascii="Arial" w:hAnsi="Arial" w:cs="Arial"/>
          <w:color w:val="000000"/>
          <w:sz w:val="20"/>
          <w:szCs w:val="20"/>
          <w:lang w:val="en-US"/>
        </w:rPr>
        <w:t>that the grant will be revoked in the following cases:</w:t>
      </w:r>
      <w:r w:rsidRPr="003C6A6B">
        <w:rPr>
          <w:rFonts w:ascii="Arial" w:hAnsi="Arial" w:cs="Arial"/>
          <w:color w:val="000000"/>
          <w:sz w:val="20"/>
          <w:szCs w:val="20"/>
          <w:lang w:val="en-US"/>
        </w:rPr>
        <w:br/>
        <w:t xml:space="preserve">- implementation of the doctoral </w:t>
      </w:r>
      <w:proofErr w:type="spellStart"/>
      <w:r w:rsidRPr="003C6A6B">
        <w:rPr>
          <w:rFonts w:ascii="Arial" w:hAnsi="Arial" w:cs="Arial"/>
          <w:color w:val="000000"/>
          <w:sz w:val="20"/>
          <w:szCs w:val="20"/>
          <w:lang w:val="en-US"/>
        </w:rPr>
        <w:t>programme</w:t>
      </w:r>
      <w:proofErr w:type="spellEnd"/>
      <w:r w:rsidRPr="003C6A6B">
        <w:rPr>
          <w:rFonts w:ascii="Arial" w:hAnsi="Arial" w:cs="Arial"/>
          <w:color w:val="000000"/>
          <w:sz w:val="20"/>
          <w:szCs w:val="20"/>
          <w:lang w:val="en-US"/>
        </w:rPr>
        <w:t xml:space="preserve"> in a manner that differs from the project accepted for funding, where the necessary </w:t>
      </w:r>
      <w:proofErr w:type="spellStart"/>
      <w:r w:rsidRPr="003C6A6B">
        <w:rPr>
          <w:rFonts w:ascii="Arial" w:hAnsi="Arial" w:cs="Arial"/>
          <w:color w:val="000000"/>
          <w:sz w:val="20"/>
          <w:szCs w:val="20"/>
          <w:lang w:val="en-US"/>
        </w:rPr>
        <w:t>authorisation</w:t>
      </w:r>
      <w:proofErr w:type="spellEnd"/>
      <w:r w:rsidRPr="003C6A6B">
        <w:rPr>
          <w:rFonts w:ascii="Arial" w:hAnsi="Arial" w:cs="Arial"/>
          <w:color w:val="000000"/>
          <w:sz w:val="20"/>
          <w:szCs w:val="20"/>
          <w:lang w:val="en-US"/>
        </w:rPr>
        <w:t xml:space="preserve"> has not been requested in advance and subsequently granted by the MUR; </w:t>
      </w:r>
      <w:r w:rsidRPr="003C6A6B">
        <w:rPr>
          <w:rFonts w:ascii="Arial" w:hAnsi="Arial" w:cs="Arial"/>
          <w:color w:val="000000"/>
          <w:sz w:val="20"/>
          <w:szCs w:val="20"/>
          <w:lang w:val="en-US"/>
        </w:rPr>
        <w:br/>
        <w:t xml:space="preserve">- failure to carry out the minimum period of study and research in a company or abroad as provided for in the project. </w:t>
      </w:r>
      <w:r w:rsidRPr="003C6A6B">
        <w:rPr>
          <w:rFonts w:ascii="Arial" w:hAnsi="Arial" w:cs="Arial"/>
          <w:color w:val="000000"/>
          <w:sz w:val="20"/>
          <w:szCs w:val="20"/>
          <w:lang w:val="en-US"/>
        </w:rPr>
        <w:br/>
        <w:t>and that in such cases the University will be entitled to recourse for the reimbursement of the amounts received.</w:t>
      </w:r>
    </w:p>
    <w:p w:rsidR="00FE3050" w:rsidRPr="003C6A6B" w:rsidRDefault="003C6A6B">
      <w:pPr>
        <w:pStyle w:val="Paragrafoelenco"/>
        <w:numPr>
          <w:ilvl w:val="0"/>
          <w:numId w:val="1"/>
        </w:numPr>
        <w:jc w:val="both"/>
        <w:rPr>
          <w:rFonts w:ascii="Arial" w:hAnsi="Arial" w:cs="Arial"/>
          <w:sz w:val="20"/>
          <w:szCs w:val="20"/>
          <w:lang w:val="en-US"/>
        </w:rPr>
      </w:pPr>
      <w:r w:rsidRPr="003C6A6B">
        <w:rPr>
          <w:rFonts w:ascii="Arial" w:hAnsi="Arial" w:cs="Arial"/>
          <w:sz w:val="20"/>
          <w:szCs w:val="20"/>
          <w:lang w:val="en-US"/>
        </w:rPr>
        <w:t>that the 6-month mobility period abroad is to be understood as mandatory;</w:t>
      </w:r>
    </w:p>
    <w:p w:rsidR="00FE3050" w:rsidRPr="003C6A6B" w:rsidRDefault="003C6A6B">
      <w:pPr>
        <w:pStyle w:val="Paragrafoelenco"/>
        <w:numPr>
          <w:ilvl w:val="0"/>
          <w:numId w:val="1"/>
        </w:numPr>
        <w:tabs>
          <w:tab w:val="left" w:pos="9638"/>
        </w:tabs>
        <w:ind w:right="-1"/>
        <w:jc w:val="both"/>
        <w:rPr>
          <w:rFonts w:ascii="Arial" w:hAnsi="Arial" w:cs="Arial"/>
          <w:sz w:val="20"/>
          <w:szCs w:val="20"/>
          <w:lang w:val="en-US"/>
        </w:rPr>
      </w:pPr>
      <w:r w:rsidRPr="003C6A6B">
        <w:rPr>
          <w:rFonts w:ascii="Arial" w:hAnsi="Arial" w:cs="Arial"/>
          <w:sz w:val="20"/>
          <w:szCs w:val="20"/>
          <w:lang w:val="en-US"/>
        </w:rPr>
        <w:t xml:space="preserve">that the award of the doctoral grant is confirmed annually on condition that the doctoral student has completed the </w:t>
      </w:r>
      <w:proofErr w:type="spellStart"/>
      <w:r w:rsidRPr="003C6A6B">
        <w:rPr>
          <w:rFonts w:ascii="Arial" w:hAnsi="Arial" w:cs="Arial"/>
          <w:sz w:val="20"/>
          <w:szCs w:val="20"/>
          <w:lang w:val="en-US"/>
        </w:rPr>
        <w:t>programme</w:t>
      </w:r>
      <w:proofErr w:type="spellEnd"/>
      <w:r w:rsidRPr="003C6A6B">
        <w:rPr>
          <w:rFonts w:ascii="Arial" w:hAnsi="Arial" w:cs="Arial"/>
          <w:sz w:val="20"/>
          <w:szCs w:val="20"/>
          <w:lang w:val="en-US"/>
        </w:rPr>
        <w:t xml:space="preserve"> of activities planned for the year in question, subject to verification by the </w:t>
      </w:r>
      <w:r w:rsidR="00223E18">
        <w:rPr>
          <w:rFonts w:ascii="Arial" w:hAnsi="Arial" w:cs="Arial"/>
          <w:sz w:val="20"/>
          <w:szCs w:val="20"/>
          <w:lang w:val="en-US"/>
        </w:rPr>
        <w:t>Teaching Committee</w:t>
      </w:r>
    </w:p>
    <w:p w:rsidR="00FE3050" w:rsidRPr="003C6A6B" w:rsidRDefault="003C6A6B">
      <w:pPr>
        <w:pStyle w:val="Paragrafoelenco"/>
        <w:numPr>
          <w:ilvl w:val="0"/>
          <w:numId w:val="1"/>
        </w:numPr>
        <w:shd w:val="clear" w:color="auto" w:fill="FFFFFF" w:themeFill="background1"/>
        <w:tabs>
          <w:tab w:val="left" w:pos="9638"/>
        </w:tabs>
        <w:ind w:right="-1"/>
        <w:jc w:val="both"/>
        <w:rPr>
          <w:rFonts w:ascii="Arial" w:hAnsi="Arial" w:cs="Arial"/>
          <w:sz w:val="20"/>
          <w:szCs w:val="20"/>
          <w:lang w:val="en-US"/>
        </w:rPr>
      </w:pPr>
      <w:r w:rsidRPr="003C6A6B">
        <w:rPr>
          <w:rFonts w:ascii="Arial" w:hAnsi="Arial" w:cs="Arial"/>
          <w:sz w:val="20"/>
          <w:szCs w:val="20"/>
          <w:lang w:val="en-US"/>
        </w:rPr>
        <w:t xml:space="preserve">that any negative assessment by the </w:t>
      </w:r>
      <w:r>
        <w:rPr>
          <w:rFonts w:ascii="Arial" w:hAnsi="Arial" w:cs="Arial"/>
          <w:sz w:val="20"/>
          <w:szCs w:val="20"/>
          <w:lang w:val="en-US"/>
        </w:rPr>
        <w:t xml:space="preserve">Teaching Committee </w:t>
      </w:r>
      <w:r w:rsidRPr="003C6A6B">
        <w:rPr>
          <w:rFonts w:ascii="Arial" w:hAnsi="Arial" w:cs="Arial"/>
          <w:sz w:val="20"/>
          <w:szCs w:val="20"/>
          <w:lang w:val="en-US"/>
        </w:rPr>
        <w:t xml:space="preserve">and the consequent non-admission to the next year of the doctoral </w:t>
      </w:r>
      <w:proofErr w:type="spellStart"/>
      <w:r w:rsidRPr="003C6A6B">
        <w:rPr>
          <w:rFonts w:ascii="Arial" w:hAnsi="Arial" w:cs="Arial"/>
          <w:sz w:val="20"/>
          <w:szCs w:val="20"/>
          <w:lang w:val="en-US"/>
        </w:rPr>
        <w:t>programme</w:t>
      </w:r>
      <w:proofErr w:type="spellEnd"/>
      <w:r w:rsidRPr="003C6A6B">
        <w:rPr>
          <w:rFonts w:ascii="Arial" w:hAnsi="Arial" w:cs="Arial"/>
          <w:sz w:val="20"/>
          <w:szCs w:val="20"/>
          <w:lang w:val="en-US"/>
        </w:rPr>
        <w:t xml:space="preserve"> will result in the revocation of the grant.</w:t>
      </w:r>
    </w:p>
    <w:p w:rsidR="00FE3050" w:rsidRPr="003C6A6B" w:rsidRDefault="003C6A6B">
      <w:pPr>
        <w:pStyle w:val="Paragrafoelenco"/>
        <w:numPr>
          <w:ilvl w:val="0"/>
          <w:numId w:val="1"/>
        </w:numPr>
        <w:tabs>
          <w:tab w:val="left" w:pos="9638"/>
        </w:tabs>
        <w:ind w:right="-1"/>
        <w:jc w:val="both"/>
        <w:rPr>
          <w:rFonts w:ascii="Arial" w:hAnsi="Arial" w:cs="Arial"/>
          <w:sz w:val="20"/>
          <w:szCs w:val="20"/>
          <w:lang w:val="en-US"/>
        </w:rPr>
      </w:pPr>
      <w:r w:rsidRPr="003C6A6B">
        <w:rPr>
          <w:rFonts w:ascii="Arial" w:hAnsi="Arial" w:cs="Arial"/>
          <w:sz w:val="20"/>
          <w:szCs w:val="20"/>
          <w:lang w:val="en-US"/>
        </w:rPr>
        <w:t>that the candidates will be declared successful and admitted to the courses "</w:t>
      </w:r>
      <w:r w:rsidRPr="003C6A6B">
        <w:rPr>
          <w:rFonts w:ascii="Arial" w:hAnsi="Arial" w:cs="Arial"/>
          <w:i/>
          <w:iCs/>
          <w:sz w:val="20"/>
          <w:szCs w:val="20"/>
          <w:lang w:val="en-US"/>
        </w:rPr>
        <w:t xml:space="preserve">sub </w:t>
      </w:r>
      <w:proofErr w:type="spellStart"/>
      <w:r w:rsidRPr="003C6A6B">
        <w:rPr>
          <w:rFonts w:ascii="Arial" w:hAnsi="Arial" w:cs="Arial"/>
          <w:i/>
          <w:iCs/>
          <w:sz w:val="20"/>
          <w:szCs w:val="20"/>
          <w:lang w:val="en-US"/>
        </w:rPr>
        <w:t>condicione</w:t>
      </w:r>
      <w:proofErr w:type="spellEnd"/>
      <w:r w:rsidRPr="003C6A6B">
        <w:rPr>
          <w:rFonts w:ascii="Arial" w:hAnsi="Arial" w:cs="Arial"/>
          <w:sz w:val="20"/>
          <w:szCs w:val="20"/>
          <w:lang w:val="en-US"/>
        </w:rPr>
        <w:t xml:space="preserve">". This status will remain in effect until the end of the verification process of eligibility for PNRR support, carried out by the Ministry and ANVUR on the basis of the eligibility requirements identified respectively in Articles 7, 8, 9 and 10 of Ministerial Decree </w:t>
      </w:r>
      <w:r w:rsidR="00223E18">
        <w:rPr>
          <w:rFonts w:ascii="Arial" w:hAnsi="Arial" w:cs="Arial"/>
          <w:sz w:val="20"/>
          <w:szCs w:val="20"/>
          <w:lang w:val="en-US"/>
        </w:rPr>
        <w:t>629</w:t>
      </w:r>
      <w:r w:rsidRPr="003C6A6B">
        <w:rPr>
          <w:rFonts w:ascii="Arial" w:hAnsi="Arial" w:cs="Arial"/>
          <w:sz w:val="20"/>
          <w:szCs w:val="20"/>
          <w:lang w:val="en-US"/>
        </w:rPr>
        <w:t xml:space="preserve"> and Article 7</w:t>
      </w:r>
      <w:r w:rsidR="00223E18">
        <w:rPr>
          <w:rFonts w:ascii="Arial" w:hAnsi="Arial" w:cs="Arial"/>
          <w:sz w:val="20"/>
          <w:szCs w:val="20"/>
          <w:lang w:val="en-US"/>
        </w:rPr>
        <w:t xml:space="preserve"> </w:t>
      </w:r>
      <w:r w:rsidRPr="003C6A6B">
        <w:rPr>
          <w:rFonts w:ascii="Arial" w:hAnsi="Arial" w:cs="Arial"/>
          <w:sz w:val="20"/>
          <w:szCs w:val="20"/>
          <w:lang w:val="en-US"/>
        </w:rPr>
        <w:t xml:space="preserve">of Ministerial Decree </w:t>
      </w:r>
      <w:r w:rsidR="00223E18">
        <w:rPr>
          <w:rFonts w:ascii="Arial" w:hAnsi="Arial" w:cs="Arial"/>
          <w:sz w:val="20"/>
          <w:szCs w:val="20"/>
          <w:lang w:val="en-US"/>
        </w:rPr>
        <w:t>630</w:t>
      </w:r>
      <w:r w:rsidRPr="003C6A6B">
        <w:rPr>
          <w:rFonts w:ascii="Arial" w:hAnsi="Arial" w:cs="Arial"/>
          <w:sz w:val="20"/>
          <w:szCs w:val="20"/>
          <w:lang w:val="en-US"/>
        </w:rPr>
        <w:t xml:space="preserve">. This verification process shall concern each doctoral </w:t>
      </w:r>
      <w:proofErr w:type="spellStart"/>
      <w:r w:rsidRPr="003C6A6B">
        <w:rPr>
          <w:rFonts w:ascii="Arial" w:hAnsi="Arial" w:cs="Arial"/>
          <w:sz w:val="20"/>
          <w:szCs w:val="20"/>
          <w:lang w:val="en-US"/>
        </w:rPr>
        <w:t>programme</w:t>
      </w:r>
      <w:proofErr w:type="spellEnd"/>
      <w:r w:rsidRPr="003C6A6B">
        <w:rPr>
          <w:rFonts w:ascii="Arial" w:hAnsi="Arial" w:cs="Arial"/>
          <w:sz w:val="20"/>
          <w:szCs w:val="20"/>
          <w:lang w:val="en-US"/>
        </w:rPr>
        <w:t xml:space="preserve"> announced by this</w:t>
      </w:r>
      <w:r>
        <w:rPr>
          <w:rFonts w:ascii="Arial" w:hAnsi="Arial" w:cs="Arial"/>
          <w:sz w:val="20"/>
          <w:szCs w:val="20"/>
          <w:lang w:val="en-US"/>
        </w:rPr>
        <w:t xml:space="preserve"> Call for Admissions</w:t>
      </w:r>
      <w:r w:rsidRPr="003C6A6B">
        <w:rPr>
          <w:rFonts w:ascii="Arial" w:hAnsi="Arial" w:cs="Arial"/>
          <w:sz w:val="20"/>
          <w:szCs w:val="20"/>
          <w:lang w:val="en-US"/>
        </w:rPr>
        <w:t xml:space="preserve">. Should the verification process indicated above have a negative outcome, the scholarship will not be funded and the interested party will be promptly notified. The results of the ministerial assessment will be announced by the end of </w:t>
      </w:r>
      <w:r w:rsidR="00223E18">
        <w:rPr>
          <w:rFonts w:ascii="Arial" w:hAnsi="Arial" w:cs="Arial"/>
          <w:sz w:val="20"/>
          <w:szCs w:val="20"/>
          <w:lang w:val="en-US"/>
        </w:rPr>
        <w:t>November</w:t>
      </w:r>
      <w:r w:rsidRPr="003C6A6B">
        <w:rPr>
          <w:rFonts w:ascii="Arial" w:hAnsi="Arial" w:cs="Arial"/>
          <w:sz w:val="20"/>
          <w:szCs w:val="20"/>
          <w:lang w:val="en-US"/>
        </w:rPr>
        <w:t xml:space="preserve"> 202</w:t>
      </w:r>
      <w:r w:rsidR="00223E18">
        <w:rPr>
          <w:rFonts w:ascii="Arial" w:hAnsi="Arial" w:cs="Arial"/>
          <w:sz w:val="20"/>
          <w:szCs w:val="20"/>
          <w:lang w:val="en-US"/>
        </w:rPr>
        <w:t>4</w:t>
      </w:r>
      <w:r w:rsidRPr="003C6A6B">
        <w:rPr>
          <w:rFonts w:ascii="Arial" w:hAnsi="Arial" w:cs="Arial"/>
          <w:sz w:val="20"/>
          <w:szCs w:val="20"/>
          <w:lang w:val="en-US"/>
        </w:rPr>
        <w:t>.</w:t>
      </w:r>
    </w:p>
    <w:p w:rsidR="00FE3050" w:rsidRPr="003C6A6B" w:rsidRDefault="003C6A6B">
      <w:pPr>
        <w:pStyle w:val="Paragrafoelenco"/>
        <w:numPr>
          <w:ilvl w:val="0"/>
          <w:numId w:val="1"/>
        </w:numPr>
        <w:spacing w:after="0" w:line="240" w:lineRule="auto"/>
        <w:jc w:val="both"/>
        <w:rPr>
          <w:rFonts w:ascii="Arial" w:hAnsi="Arial" w:cs="Arial"/>
          <w:color w:val="000000"/>
          <w:sz w:val="20"/>
          <w:szCs w:val="20"/>
          <w:lang w:val="en-US"/>
        </w:rPr>
      </w:pPr>
      <w:r w:rsidRPr="003C6A6B">
        <w:rPr>
          <w:rFonts w:ascii="Arial" w:hAnsi="Arial" w:cs="Arial"/>
          <w:color w:val="000000"/>
          <w:sz w:val="20"/>
          <w:szCs w:val="20"/>
          <w:lang w:val="en-US"/>
        </w:rPr>
        <w:t xml:space="preserve">that attendance of the PhD Course entails an exclusive and full-time commitment and that any activity other than training and research must be </w:t>
      </w:r>
      <w:proofErr w:type="spellStart"/>
      <w:r w:rsidRPr="003C6A6B">
        <w:rPr>
          <w:rFonts w:ascii="Arial" w:hAnsi="Arial" w:cs="Arial"/>
          <w:color w:val="000000"/>
          <w:sz w:val="20"/>
          <w:szCs w:val="20"/>
          <w:lang w:val="en-US"/>
        </w:rPr>
        <w:t>authorised</w:t>
      </w:r>
      <w:proofErr w:type="spellEnd"/>
      <w:r w:rsidRPr="003C6A6B">
        <w:rPr>
          <w:rFonts w:ascii="Arial" w:hAnsi="Arial" w:cs="Arial"/>
          <w:color w:val="000000"/>
          <w:sz w:val="20"/>
          <w:szCs w:val="20"/>
          <w:lang w:val="en-US"/>
        </w:rPr>
        <w:t xml:space="preserve"> by the </w:t>
      </w:r>
      <w:r>
        <w:rPr>
          <w:rFonts w:ascii="Arial" w:hAnsi="Arial" w:cs="Arial"/>
          <w:color w:val="000000"/>
          <w:sz w:val="20"/>
          <w:szCs w:val="20"/>
          <w:lang w:val="en-US"/>
        </w:rPr>
        <w:t xml:space="preserve">Teaching Committee </w:t>
      </w:r>
      <w:r w:rsidRPr="003C6A6B">
        <w:rPr>
          <w:rFonts w:ascii="Arial" w:hAnsi="Arial" w:cs="Arial"/>
          <w:color w:val="000000"/>
          <w:sz w:val="20"/>
          <w:szCs w:val="20"/>
          <w:lang w:val="en-US"/>
        </w:rPr>
        <w:t xml:space="preserve">subject to the </w:t>
      </w:r>
      <w:proofErr w:type="spellStart"/>
      <w:r w:rsidRPr="003C6A6B">
        <w:rPr>
          <w:rFonts w:ascii="Arial" w:hAnsi="Arial" w:cs="Arial"/>
          <w:color w:val="000000"/>
          <w:sz w:val="20"/>
          <w:szCs w:val="20"/>
          <w:lang w:val="en-US"/>
        </w:rPr>
        <w:t>favourable</w:t>
      </w:r>
      <w:proofErr w:type="spellEnd"/>
      <w:r w:rsidRPr="003C6A6B">
        <w:rPr>
          <w:rFonts w:ascii="Arial" w:hAnsi="Arial" w:cs="Arial"/>
          <w:color w:val="000000"/>
          <w:sz w:val="20"/>
          <w:szCs w:val="20"/>
          <w:lang w:val="en-US"/>
        </w:rPr>
        <w:t xml:space="preserve"> opinion of the Supervisor and the co-Supervisor. Remunerated activities must be limited to those related to the acquisition of skills related to the training area of the PhD, after assessing the compatibility of such activities with the profitable performance of the training, teaching and research activities of the Course. The remuneration of the </w:t>
      </w:r>
      <w:proofErr w:type="spellStart"/>
      <w:r w:rsidRPr="003C6A6B">
        <w:rPr>
          <w:rFonts w:ascii="Arial" w:hAnsi="Arial" w:cs="Arial"/>
          <w:color w:val="000000"/>
          <w:sz w:val="20"/>
          <w:szCs w:val="20"/>
          <w:lang w:val="en-US"/>
        </w:rPr>
        <w:t>authorised</w:t>
      </w:r>
      <w:proofErr w:type="spellEnd"/>
      <w:r w:rsidRPr="003C6A6B">
        <w:rPr>
          <w:rFonts w:ascii="Arial" w:hAnsi="Arial" w:cs="Arial"/>
          <w:color w:val="000000"/>
          <w:sz w:val="20"/>
          <w:szCs w:val="20"/>
          <w:lang w:val="en-US"/>
        </w:rPr>
        <w:t xml:space="preserve"> work activities for PhD students with a scholarship shall not exceed the value of the annual amount of the scholarship as defined in art. 1</w:t>
      </w:r>
      <w:r w:rsidR="00223E18">
        <w:rPr>
          <w:rFonts w:ascii="Arial" w:hAnsi="Arial" w:cs="Arial"/>
          <w:color w:val="000000"/>
          <w:sz w:val="20"/>
          <w:szCs w:val="20"/>
          <w:lang w:val="en-US"/>
        </w:rPr>
        <w:t>1</w:t>
      </w:r>
      <w:r w:rsidRPr="003C6A6B">
        <w:rPr>
          <w:rFonts w:ascii="Arial" w:hAnsi="Arial" w:cs="Arial"/>
          <w:color w:val="000000"/>
          <w:sz w:val="20"/>
          <w:szCs w:val="20"/>
          <w:lang w:val="en-US"/>
        </w:rPr>
        <w:t xml:space="preserve"> </w:t>
      </w:r>
      <w:r w:rsidRPr="003C6A6B">
        <w:rPr>
          <w:rFonts w:ascii="Arial" w:hAnsi="Arial" w:cs="Arial"/>
          <w:color w:val="000000"/>
          <w:sz w:val="20"/>
          <w:szCs w:val="20"/>
          <w:lang w:val="en-US"/>
        </w:rPr>
        <w:lastRenderedPageBreak/>
        <w:t>paragraph 1 of the competition notice. Collaborations of a subordinate nature with public or private bodies involving a continuous commitment of a fixed or indefinite duration shall count towards determining the aforementioned remuneration.</w:t>
      </w:r>
    </w:p>
    <w:p w:rsidR="00FE3050" w:rsidRPr="003C6A6B" w:rsidRDefault="003C6A6B">
      <w:pPr>
        <w:pStyle w:val="Paragrafoelenco"/>
        <w:numPr>
          <w:ilvl w:val="0"/>
          <w:numId w:val="1"/>
        </w:numPr>
        <w:spacing w:after="0" w:line="240" w:lineRule="auto"/>
        <w:jc w:val="both"/>
        <w:rPr>
          <w:rFonts w:ascii="Arial" w:hAnsi="Arial" w:cs="Arial"/>
          <w:color w:val="000000"/>
          <w:sz w:val="20"/>
          <w:szCs w:val="20"/>
          <w:lang w:val="en-US"/>
        </w:rPr>
      </w:pPr>
      <w:r w:rsidRPr="003C6A6B">
        <w:rPr>
          <w:rFonts w:ascii="Arial" w:hAnsi="Arial" w:cs="Arial"/>
          <w:color w:val="000000"/>
          <w:sz w:val="20"/>
          <w:szCs w:val="20"/>
          <w:lang w:val="en-US"/>
        </w:rPr>
        <w:t xml:space="preserve">that all positions financed within the framework of this call </w:t>
      </w:r>
      <w:r w:rsidR="00223E18">
        <w:rPr>
          <w:rFonts w:ascii="Arial" w:hAnsi="Arial" w:cs="Arial"/>
          <w:color w:val="000000"/>
          <w:sz w:val="20"/>
          <w:szCs w:val="20"/>
          <w:lang w:val="en-US"/>
        </w:rPr>
        <w:t xml:space="preserve">and funded by PNRR funds, </w:t>
      </w:r>
      <w:r w:rsidRPr="003C6A6B">
        <w:rPr>
          <w:rFonts w:ascii="Arial" w:hAnsi="Arial" w:cs="Arial"/>
          <w:color w:val="000000"/>
          <w:sz w:val="20"/>
          <w:szCs w:val="20"/>
          <w:lang w:val="en-US"/>
        </w:rPr>
        <w:t xml:space="preserve">are to be considered exclusively positions with scholarship. Winners may not, therefore, renounce their doctoral scholarship (in whole or in part) by continuing their doctoral studies as non-scholarship holders. </w:t>
      </w:r>
      <w:r w:rsidRPr="003C6A6B">
        <w:rPr>
          <w:rFonts w:ascii="Arial" w:hAnsi="Arial" w:cs="Arial"/>
          <w:color w:val="000000"/>
          <w:sz w:val="20"/>
          <w:szCs w:val="20"/>
          <w:lang w:val="en-US"/>
        </w:rPr>
        <w:br/>
        <w:t xml:space="preserve">Renouncing the scholarship will in fact entail renouncing the doctoral position for which one was awarded. Therefore, the candidate will not be able to continue their path if they find themselves in situations of incompatibility that entail the renunciation, even partial, of the doctoral grant (e.g. joint attendance of medical </w:t>
      </w:r>
      <w:proofErr w:type="spellStart"/>
      <w:r w:rsidRPr="003C6A6B">
        <w:rPr>
          <w:rFonts w:ascii="Arial" w:hAnsi="Arial" w:cs="Arial"/>
          <w:color w:val="000000"/>
          <w:sz w:val="20"/>
          <w:szCs w:val="20"/>
          <w:lang w:val="en-US"/>
        </w:rPr>
        <w:t>specialisation</w:t>
      </w:r>
      <w:proofErr w:type="spellEnd"/>
      <w:r w:rsidRPr="003C6A6B">
        <w:rPr>
          <w:rFonts w:ascii="Arial" w:hAnsi="Arial" w:cs="Arial"/>
          <w:color w:val="000000"/>
          <w:sz w:val="20"/>
          <w:szCs w:val="20"/>
          <w:lang w:val="en-US"/>
        </w:rPr>
        <w:t xml:space="preserve"> schools, etc.).</w:t>
      </w:r>
    </w:p>
    <w:p w:rsidR="00A93374" w:rsidRDefault="00A93374" w:rsidP="00223E18">
      <w:pPr>
        <w:tabs>
          <w:tab w:val="right" w:pos="9781"/>
        </w:tabs>
        <w:jc w:val="both"/>
        <w:rPr>
          <w:sz w:val="20"/>
          <w:szCs w:val="20"/>
          <w:lang w:val="en-US"/>
        </w:rPr>
      </w:pPr>
    </w:p>
    <w:p w:rsidR="00223E18" w:rsidRPr="00A93374" w:rsidRDefault="00A93374" w:rsidP="00A93374">
      <w:pPr>
        <w:tabs>
          <w:tab w:val="right" w:pos="9781"/>
        </w:tabs>
        <w:jc w:val="both"/>
        <w:rPr>
          <w:rFonts w:ascii="Arial" w:hAnsi="Arial" w:cs="Arial"/>
          <w:b/>
          <w:color w:val="000000"/>
          <w:sz w:val="20"/>
          <w:szCs w:val="20"/>
          <w:lang w:val="en-US"/>
        </w:rPr>
      </w:pPr>
      <w:r w:rsidRPr="00A93374">
        <w:rPr>
          <w:rFonts w:ascii="Arial" w:hAnsi="Arial" w:cs="Arial"/>
          <w:b/>
          <w:color w:val="000000"/>
          <w:sz w:val="20"/>
          <w:szCs w:val="20"/>
          <w:lang w:val="en-US"/>
        </w:rPr>
        <w:t>being aware of the penalties laid down in art. 496 of the penal code for false declarations</w:t>
      </w:r>
      <w:r>
        <w:rPr>
          <w:rFonts w:ascii="Arial" w:hAnsi="Arial" w:cs="Arial"/>
          <w:b/>
          <w:color w:val="000000"/>
          <w:sz w:val="20"/>
          <w:szCs w:val="20"/>
          <w:lang w:val="en-US"/>
        </w:rPr>
        <w:t>,</w:t>
      </w:r>
      <w:r w:rsidRPr="00A93374">
        <w:rPr>
          <w:rFonts w:ascii="Arial" w:hAnsi="Arial" w:cs="Arial"/>
          <w:b/>
          <w:color w:val="000000"/>
          <w:sz w:val="20"/>
          <w:szCs w:val="20"/>
          <w:lang w:val="en-US"/>
        </w:rPr>
        <w:t xml:space="preserve"> </w:t>
      </w:r>
      <w:r w:rsidRPr="00A93374">
        <w:rPr>
          <w:rFonts w:ascii="Arial" w:hAnsi="Arial" w:cs="Arial"/>
          <w:b/>
          <w:color w:val="000000"/>
          <w:sz w:val="20"/>
          <w:szCs w:val="20"/>
          <w:lang w:val="en-US"/>
        </w:rPr>
        <w:t xml:space="preserve">the undersigned declares </w:t>
      </w:r>
      <w:r>
        <w:rPr>
          <w:rFonts w:ascii="Arial" w:hAnsi="Arial" w:cs="Arial"/>
          <w:b/>
          <w:color w:val="000000"/>
          <w:sz w:val="20"/>
          <w:szCs w:val="20"/>
          <w:lang w:val="en-US"/>
        </w:rPr>
        <w:t>to</w:t>
      </w:r>
      <w:r w:rsidRPr="00A93374">
        <w:rPr>
          <w:rFonts w:ascii="Arial" w:hAnsi="Arial" w:cs="Arial"/>
          <w:b/>
          <w:color w:val="000000"/>
          <w:sz w:val="20"/>
          <w:szCs w:val="20"/>
          <w:lang w:val="en-US"/>
        </w:rPr>
        <w:t xml:space="preserve"> </w:t>
      </w:r>
      <w:r w:rsidR="00223E18" w:rsidRPr="00A93374">
        <w:rPr>
          <w:rFonts w:ascii="Arial" w:hAnsi="Arial" w:cs="Arial"/>
          <w:b/>
          <w:color w:val="000000"/>
          <w:sz w:val="20"/>
          <w:szCs w:val="20"/>
          <w:lang w:val="en-US"/>
        </w:rPr>
        <w:t xml:space="preserve">have </w:t>
      </w:r>
      <w:r>
        <w:rPr>
          <w:rFonts w:ascii="Arial" w:hAnsi="Arial" w:cs="Arial"/>
          <w:b/>
          <w:color w:val="000000"/>
          <w:sz w:val="20"/>
          <w:szCs w:val="20"/>
          <w:lang w:val="en-US"/>
        </w:rPr>
        <w:t xml:space="preserve">not already </w:t>
      </w:r>
      <w:r w:rsidR="00223E18" w:rsidRPr="00A93374">
        <w:rPr>
          <w:rFonts w:ascii="Arial" w:hAnsi="Arial" w:cs="Arial"/>
          <w:b/>
          <w:color w:val="000000"/>
          <w:sz w:val="20"/>
          <w:szCs w:val="20"/>
          <w:lang w:val="en-US"/>
        </w:rPr>
        <w:t>benefited, even for one day, from a doctoral fellowship funded from PNRR funds</w:t>
      </w:r>
      <w:r w:rsidRPr="00A93374">
        <w:rPr>
          <w:rFonts w:ascii="Arial" w:hAnsi="Arial" w:cs="Arial"/>
          <w:b/>
          <w:color w:val="000000"/>
          <w:sz w:val="20"/>
          <w:szCs w:val="20"/>
          <w:lang w:val="en-US"/>
        </w:rPr>
        <w:t>.</w:t>
      </w:r>
    </w:p>
    <w:p w:rsidR="00FE3050" w:rsidRPr="00A93374" w:rsidRDefault="003C6A6B" w:rsidP="00A93374">
      <w:pPr>
        <w:rPr>
          <w:rFonts w:ascii="Arial" w:hAnsi="Arial" w:cs="Arial"/>
          <w:color w:val="000000"/>
          <w:sz w:val="20"/>
          <w:szCs w:val="20"/>
          <w:lang w:val="en-US"/>
        </w:rPr>
      </w:pPr>
      <w:r w:rsidRPr="00223E18">
        <w:rPr>
          <w:rFonts w:ascii="Arial" w:hAnsi="Arial" w:cs="Arial"/>
          <w:color w:val="000000"/>
          <w:sz w:val="20"/>
          <w:szCs w:val="20"/>
          <w:lang w:val="en-US"/>
        </w:rPr>
        <w:t>and also undertakes to:</w:t>
      </w:r>
      <w:bookmarkStart w:id="0" w:name="_GoBack"/>
      <w:bookmarkEnd w:id="0"/>
    </w:p>
    <w:p w:rsidR="00FE3050" w:rsidRPr="003C6A6B" w:rsidRDefault="003C6A6B">
      <w:pPr>
        <w:pStyle w:val="Paragrafoelenco"/>
        <w:numPr>
          <w:ilvl w:val="0"/>
          <w:numId w:val="2"/>
        </w:numPr>
        <w:spacing w:after="0" w:line="240" w:lineRule="auto"/>
        <w:jc w:val="both"/>
        <w:rPr>
          <w:rFonts w:ascii="Arial" w:hAnsi="Arial" w:cs="Arial"/>
          <w:color w:val="000000"/>
          <w:sz w:val="20"/>
          <w:szCs w:val="20"/>
          <w:lang w:val="en-US"/>
        </w:rPr>
      </w:pPr>
      <w:r w:rsidRPr="003C6A6B">
        <w:rPr>
          <w:rFonts w:ascii="Arial" w:hAnsi="Arial" w:cs="Arial"/>
          <w:color w:val="000000"/>
          <w:sz w:val="20"/>
          <w:szCs w:val="20"/>
          <w:lang w:val="en-US"/>
        </w:rPr>
        <w:t>produce a six-monthly report indicating the time commitment (broken down into months in the company, at headquarters and abroad) and a summary of the main activities carried out, also stating that they comply with the principle of "not causing significant damage to the environment". Reporting will be done through the dedicated online platform https://dottorati.mur.gov.it) and using the forms therein;</w:t>
      </w:r>
    </w:p>
    <w:p w:rsidR="00FE3050" w:rsidRPr="003C6A6B" w:rsidRDefault="003C6A6B">
      <w:pPr>
        <w:pStyle w:val="Paragrafoelenco"/>
        <w:numPr>
          <w:ilvl w:val="0"/>
          <w:numId w:val="2"/>
        </w:numPr>
        <w:spacing w:after="0" w:line="240" w:lineRule="auto"/>
        <w:jc w:val="both"/>
        <w:rPr>
          <w:rFonts w:ascii="Arial" w:hAnsi="Arial" w:cs="Arial"/>
          <w:color w:val="000000"/>
          <w:sz w:val="20"/>
          <w:szCs w:val="20"/>
          <w:lang w:val="en-US"/>
        </w:rPr>
      </w:pPr>
      <w:r w:rsidRPr="003C6A6B">
        <w:rPr>
          <w:rFonts w:ascii="Arial" w:hAnsi="Arial" w:cs="Arial"/>
          <w:color w:val="000000"/>
          <w:sz w:val="20"/>
          <w:szCs w:val="20"/>
          <w:lang w:val="en-US"/>
        </w:rPr>
        <w:t>comply with the principle of not causing significant damage to environmental objectives, pursuant to Article 17 of Regulation (EU) 2020/852 in the implementation and execution of project activities;</w:t>
      </w:r>
    </w:p>
    <w:p w:rsidR="00FE3050" w:rsidRPr="003C6A6B" w:rsidRDefault="003C6A6B">
      <w:pPr>
        <w:pStyle w:val="Paragrafoelenco"/>
        <w:numPr>
          <w:ilvl w:val="0"/>
          <w:numId w:val="2"/>
        </w:numPr>
        <w:spacing w:after="0" w:line="240" w:lineRule="auto"/>
        <w:jc w:val="both"/>
        <w:rPr>
          <w:rFonts w:ascii="Arial" w:hAnsi="Arial" w:cs="Arial"/>
          <w:color w:val="000000"/>
          <w:sz w:val="20"/>
          <w:szCs w:val="20"/>
          <w:lang w:val="en-US"/>
        </w:rPr>
      </w:pPr>
      <w:r w:rsidRPr="003C6A6B">
        <w:rPr>
          <w:rFonts w:ascii="Arial" w:hAnsi="Arial" w:cs="Arial"/>
          <w:color w:val="000000"/>
          <w:sz w:val="20"/>
          <w:szCs w:val="20"/>
          <w:lang w:val="en-US"/>
        </w:rPr>
        <w:t>to respect the prohibition of double financing laid down in Article 9 of Regulation (EU) 2021/241;</w:t>
      </w:r>
    </w:p>
    <w:p w:rsidR="00FE3050" w:rsidRPr="003C6A6B" w:rsidRDefault="003C6A6B">
      <w:pPr>
        <w:pStyle w:val="Paragrafoelenco"/>
        <w:numPr>
          <w:ilvl w:val="0"/>
          <w:numId w:val="2"/>
        </w:numPr>
        <w:spacing w:after="0" w:line="240" w:lineRule="auto"/>
        <w:jc w:val="both"/>
        <w:rPr>
          <w:rFonts w:ascii="Arial" w:hAnsi="Arial" w:cs="Arial"/>
          <w:color w:val="000000"/>
          <w:sz w:val="20"/>
          <w:szCs w:val="20"/>
          <w:lang w:val="en-US"/>
        </w:rPr>
      </w:pPr>
      <w:r w:rsidRPr="003C6A6B">
        <w:rPr>
          <w:rFonts w:ascii="Arial" w:hAnsi="Arial" w:cs="Arial"/>
          <w:color w:val="000000"/>
          <w:sz w:val="20"/>
          <w:szCs w:val="20"/>
          <w:lang w:val="en-US"/>
        </w:rPr>
        <w:t>not benefit, for the duration of the</w:t>
      </w:r>
      <w:r>
        <w:rPr>
          <w:rFonts w:ascii="Arial" w:hAnsi="Arial" w:cs="Arial"/>
          <w:color w:val="000000"/>
          <w:sz w:val="20"/>
          <w:szCs w:val="20"/>
          <w:lang w:val="en-US"/>
        </w:rPr>
        <w:t xml:space="preserve"> PNRR</w:t>
      </w:r>
      <w:r w:rsidRPr="003C6A6B">
        <w:rPr>
          <w:rFonts w:ascii="Arial" w:hAnsi="Arial" w:cs="Arial"/>
          <w:color w:val="000000"/>
          <w:sz w:val="20"/>
          <w:szCs w:val="20"/>
          <w:lang w:val="en-US"/>
        </w:rPr>
        <w:t>-funded scholarship, from any other scholarship awarded for any reason;</w:t>
      </w:r>
    </w:p>
    <w:p w:rsidR="00FE3050" w:rsidRPr="003C6A6B" w:rsidRDefault="003C6A6B">
      <w:pPr>
        <w:pStyle w:val="Paragrafoelenco"/>
        <w:numPr>
          <w:ilvl w:val="0"/>
          <w:numId w:val="2"/>
        </w:numPr>
        <w:spacing w:after="0" w:line="240" w:lineRule="auto"/>
        <w:jc w:val="both"/>
        <w:rPr>
          <w:rFonts w:ascii="Arial" w:hAnsi="Arial" w:cs="Arial"/>
          <w:color w:val="000000"/>
          <w:sz w:val="20"/>
          <w:szCs w:val="20"/>
          <w:lang w:val="en-US"/>
        </w:rPr>
      </w:pPr>
      <w:r w:rsidRPr="003C6A6B">
        <w:rPr>
          <w:rFonts w:ascii="Arial" w:hAnsi="Arial" w:cs="Arial"/>
          <w:color w:val="000000"/>
          <w:sz w:val="20"/>
          <w:szCs w:val="20"/>
          <w:lang w:val="en-US"/>
        </w:rPr>
        <w:t>comply with the above and with the commitments set out in the competition notice relating to the position for which he/she was successful.</w:t>
      </w:r>
    </w:p>
    <w:p w:rsidR="00FE3050" w:rsidRPr="003C6A6B" w:rsidRDefault="00FE3050">
      <w:pPr>
        <w:pStyle w:val="Paragrafoelenco"/>
        <w:rPr>
          <w:rFonts w:ascii="Arial" w:hAnsi="Arial" w:cs="Arial"/>
          <w:lang w:val="en-US"/>
        </w:rPr>
      </w:pPr>
    </w:p>
    <w:p w:rsidR="00FE3050" w:rsidRPr="003C6A6B" w:rsidRDefault="003C6A6B">
      <w:pPr>
        <w:spacing w:after="0" w:line="240" w:lineRule="auto"/>
        <w:jc w:val="both"/>
        <w:rPr>
          <w:rFonts w:ascii="Arial" w:hAnsi="Arial" w:cs="Arial"/>
          <w:lang w:val="en-US"/>
        </w:rPr>
      </w:pPr>
      <w:r w:rsidRPr="003C6A6B">
        <w:rPr>
          <w:rFonts w:ascii="Arial" w:hAnsi="Arial" w:cs="Arial"/>
          <w:lang w:val="en-US"/>
        </w:rPr>
        <w:t xml:space="preserve">         </w:t>
      </w:r>
    </w:p>
    <w:p w:rsidR="00FE3050" w:rsidRPr="003C6A6B" w:rsidRDefault="00FE3050">
      <w:pPr>
        <w:rPr>
          <w:rFonts w:ascii="Arial" w:hAnsi="Arial" w:cs="Arial"/>
          <w:lang w:val="en-US"/>
        </w:rPr>
      </w:pPr>
    </w:p>
    <w:p w:rsidR="00FE3050" w:rsidRPr="003C6A6B" w:rsidRDefault="00FE3050">
      <w:pPr>
        <w:rPr>
          <w:rFonts w:ascii="Arial" w:hAnsi="Arial" w:cs="Arial"/>
          <w:lang w:val="en-US"/>
        </w:rPr>
      </w:pPr>
    </w:p>
    <w:p w:rsidR="00FE3050" w:rsidRPr="003C6A6B" w:rsidRDefault="00FE3050">
      <w:pPr>
        <w:rPr>
          <w:rFonts w:ascii="Arial" w:hAnsi="Arial" w:cs="Arial"/>
          <w:lang w:val="en-US"/>
        </w:rPr>
      </w:pPr>
    </w:p>
    <w:p w:rsidR="00FE3050" w:rsidRDefault="003C6A6B">
      <w:pPr>
        <w:rPr>
          <w:rFonts w:ascii="Arial" w:hAnsi="Arial" w:cs="Arial"/>
        </w:rPr>
      </w:pPr>
      <w:r>
        <w:rPr>
          <w:rFonts w:ascii="Arial" w:hAnsi="Arial" w:cs="Arial"/>
        </w:rPr>
        <w:t>Date and signature</w:t>
      </w:r>
    </w:p>
    <w:p w:rsidR="00FE3050" w:rsidRDefault="003C6A6B">
      <w:pPr>
        <w:rPr>
          <w:rFonts w:ascii="Arial" w:hAnsi="Arial" w:cs="Arial"/>
        </w:rPr>
      </w:pPr>
      <w:r>
        <w:rPr>
          <w:rFonts w:ascii="Arial" w:hAnsi="Arial" w:cs="Arial"/>
        </w:rPr>
        <w:t>_____________________</w:t>
      </w:r>
    </w:p>
    <w:sectPr w:rsidR="00FE3050">
      <w:headerReference w:type="default" r:id="rId7"/>
      <w:pgSz w:w="11906" w:h="16838"/>
      <w:pgMar w:top="1417" w:right="1134" w:bottom="1134" w:left="1134"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6101" w:rsidRDefault="003C6A6B">
      <w:pPr>
        <w:spacing w:after="0" w:line="240" w:lineRule="auto"/>
      </w:pPr>
      <w:r>
        <w:separator/>
      </w:r>
    </w:p>
  </w:endnote>
  <w:endnote w:type="continuationSeparator" w:id="0">
    <w:p w:rsidR="00776101" w:rsidRDefault="003C6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6101" w:rsidRDefault="003C6A6B">
      <w:pPr>
        <w:spacing w:after="0" w:line="240" w:lineRule="auto"/>
      </w:pPr>
      <w:r>
        <w:separator/>
      </w:r>
    </w:p>
  </w:footnote>
  <w:footnote w:type="continuationSeparator" w:id="0">
    <w:p w:rsidR="00776101" w:rsidRDefault="003C6A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3050" w:rsidRDefault="00FE3050">
    <w:pPr>
      <w:pStyle w:val="Intestazione"/>
      <w:tabs>
        <w:tab w:val="left" w:pos="5956"/>
      </w:tabs>
    </w:pPr>
  </w:p>
  <w:p w:rsidR="00FE3050" w:rsidRDefault="003C6A6B">
    <w:pPr>
      <w:ind w:left="-709" w:right="-181"/>
      <w:rPr>
        <w:b/>
        <w:bCs/>
      </w:rPr>
    </w:pPr>
    <w:r>
      <w:rPr>
        <w:noProof/>
      </w:rPr>
      <w:drawing>
        <wp:anchor distT="0" distB="0" distL="0" distR="0" simplePos="0" relativeHeight="3" behindDoc="1" locked="0" layoutInCell="0" allowOverlap="1">
          <wp:simplePos x="0" y="0"/>
          <wp:positionH relativeFrom="margin">
            <wp:posOffset>3723005</wp:posOffset>
          </wp:positionH>
          <wp:positionV relativeFrom="paragraph">
            <wp:posOffset>8255</wp:posOffset>
          </wp:positionV>
          <wp:extent cx="497840" cy="497840"/>
          <wp:effectExtent l="0" t="0" r="0" b="0"/>
          <wp:wrapNone/>
          <wp:docPr id="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7"/>
                  <pic:cNvPicPr>
                    <a:picLocks noChangeAspect="1" noChangeArrowheads="1"/>
                  </pic:cNvPicPr>
                </pic:nvPicPr>
                <pic:blipFill>
                  <a:blip r:embed="rId1"/>
                  <a:stretch>
                    <a:fillRect/>
                  </a:stretch>
                </pic:blipFill>
                <pic:spPr bwMode="auto">
                  <a:xfrm>
                    <a:off x="0" y="0"/>
                    <a:ext cx="497840" cy="497840"/>
                  </a:xfrm>
                  <a:prstGeom prst="rect">
                    <a:avLst/>
                  </a:prstGeom>
                </pic:spPr>
              </pic:pic>
            </a:graphicData>
          </a:graphic>
        </wp:anchor>
      </w:drawing>
    </w:r>
    <w:r>
      <w:rPr>
        <w:noProof/>
      </w:rPr>
      <w:drawing>
        <wp:anchor distT="0" distB="0" distL="0" distR="0" simplePos="0" relativeHeight="5" behindDoc="1" locked="0" layoutInCell="0" allowOverlap="1">
          <wp:simplePos x="0" y="0"/>
          <wp:positionH relativeFrom="column">
            <wp:posOffset>-252095</wp:posOffset>
          </wp:positionH>
          <wp:positionV relativeFrom="paragraph">
            <wp:posOffset>136525</wp:posOffset>
          </wp:positionV>
          <wp:extent cx="1043940" cy="275590"/>
          <wp:effectExtent l="0" t="0" r="0" b="0"/>
          <wp:wrapNone/>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
                  <pic:cNvPicPr>
                    <a:picLocks noChangeAspect="1" noChangeArrowheads="1"/>
                  </pic:cNvPicPr>
                </pic:nvPicPr>
                <pic:blipFill>
                  <a:blip r:embed="rId2"/>
                  <a:stretch>
                    <a:fillRect/>
                  </a:stretch>
                </pic:blipFill>
                <pic:spPr bwMode="auto">
                  <a:xfrm>
                    <a:off x="0" y="0"/>
                    <a:ext cx="1043940" cy="275590"/>
                  </a:xfrm>
                  <a:prstGeom prst="rect">
                    <a:avLst/>
                  </a:prstGeom>
                </pic:spPr>
              </pic:pic>
            </a:graphicData>
          </a:graphic>
        </wp:anchor>
      </w:drawing>
    </w:r>
    <w:r>
      <w:rPr>
        <w:noProof/>
      </w:rPr>
      <w:drawing>
        <wp:anchor distT="0" distB="0" distL="0" distR="0" simplePos="0" relativeHeight="7" behindDoc="1" locked="0" layoutInCell="0" allowOverlap="1">
          <wp:simplePos x="0" y="0"/>
          <wp:positionH relativeFrom="column">
            <wp:posOffset>1044575</wp:posOffset>
          </wp:positionH>
          <wp:positionV relativeFrom="paragraph">
            <wp:posOffset>-20320</wp:posOffset>
          </wp:positionV>
          <wp:extent cx="1329690" cy="628015"/>
          <wp:effectExtent l="0" t="0" r="0" b="0"/>
          <wp:wrapNone/>
          <wp:docPr id="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5"/>
                  <pic:cNvPicPr>
                    <a:picLocks noChangeAspect="1" noChangeArrowheads="1"/>
                  </pic:cNvPicPr>
                </pic:nvPicPr>
                <pic:blipFill>
                  <a:blip r:embed="rId3"/>
                  <a:stretch>
                    <a:fillRect/>
                  </a:stretch>
                </pic:blipFill>
                <pic:spPr bwMode="auto">
                  <a:xfrm>
                    <a:off x="0" y="0"/>
                    <a:ext cx="1329690" cy="628015"/>
                  </a:xfrm>
                  <a:prstGeom prst="rect">
                    <a:avLst/>
                  </a:prstGeom>
                </pic:spPr>
              </pic:pic>
            </a:graphicData>
          </a:graphic>
        </wp:anchor>
      </w:drawing>
    </w:r>
    <w:r>
      <w:rPr>
        <w:noProof/>
      </w:rPr>
      <w:drawing>
        <wp:anchor distT="0" distB="0" distL="0" distR="0" simplePos="0" relativeHeight="9" behindDoc="1" locked="0" layoutInCell="0" allowOverlap="1">
          <wp:simplePos x="0" y="0"/>
          <wp:positionH relativeFrom="margin">
            <wp:align>center</wp:align>
          </wp:positionH>
          <wp:positionV relativeFrom="paragraph">
            <wp:posOffset>-10160</wp:posOffset>
          </wp:positionV>
          <wp:extent cx="820420" cy="538480"/>
          <wp:effectExtent l="0" t="0" r="0" b="0"/>
          <wp:wrapNone/>
          <wp:docPr id="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6"/>
                  <pic:cNvPicPr>
                    <a:picLocks noChangeAspect="1" noChangeArrowheads="1"/>
                  </pic:cNvPicPr>
                </pic:nvPicPr>
                <pic:blipFill>
                  <a:blip r:embed="rId4"/>
                  <a:stretch>
                    <a:fillRect/>
                  </a:stretch>
                </pic:blipFill>
                <pic:spPr bwMode="auto">
                  <a:xfrm>
                    <a:off x="0" y="0"/>
                    <a:ext cx="820420" cy="538480"/>
                  </a:xfrm>
                  <a:prstGeom prst="rect">
                    <a:avLst/>
                  </a:prstGeom>
                </pic:spPr>
              </pic:pic>
            </a:graphicData>
          </a:graphic>
        </wp:anchor>
      </w:drawing>
    </w:r>
    <w:r>
      <w:rPr>
        <w:noProof/>
      </w:rPr>
      <w:drawing>
        <wp:anchor distT="0" distB="0" distL="0" distR="0" simplePos="0" relativeHeight="11" behindDoc="1" locked="0" layoutInCell="0" allowOverlap="1">
          <wp:simplePos x="0" y="0"/>
          <wp:positionH relativeFrom="column">
            <wp:posOffset>4599305</wp:posOffset>
          </wp:positionH>
          <wp:positionV relativeFrom="paragraph">
            <wp:posOffset>6985</wp:posOffset>
          </wp:positionV>
          <wp:extent cx="1388745" cy="483870"/>
          <wp:effectExtent l="0" t="0" r="0" b="0"/>
          <wp:wrapNone/>
          <wp:docPr id="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9"/>
                  <pic:cNvPicPr>
                    <a:picLocks noChangeAspect="1" noChangeArrowheads="1"/>
                  </pic:cNvPicPr>
                </pic:nvPicPr>
                <pic:blipFill>
                  <a:blip r:embed="rId5"/>
                  <a:stretch>
                    <a:fillRect/>
                  </a:stretch>
                </pic:blipFill>
                <pic:spPr bwMode="auto">
                  <a:xfrm>
                    <a:off x="0" y="0"/>
                    <a:ext cx="1388745" cy="483870"/>
                  </a:xfrm>
                  <a:prstGeom prst="rect">
                    <a:avLst/>
                  </a:prstGeom>
                </pic:spPr>
              </pic:pic>
            </a:graphicData>
          </a:graphic>
        </wp:anchor>
      </w:drawing>
    </w:r>
    <w:r>
      <w:rPr>
        <w:bCs/>
        <w:color w:val="002060"/>
        <w:sz w:val="14"/>
        <w:szCs w:val="14"/>
      </w:rPr>
      <w:t xml:space="preserve">        </w:t>
    </w:r>
    <w:r>
      <w:rPr>
        <w:noProof/>
      </w:rPr>
      <w:drawing>
        <wp:inline distT="0" distB="0" distL="0" distR="0">
          <wp:extent cx="1116330" cy="531495"/>
          <wp:effectExtent l="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
                  <pic:cNvPicPr>
                    <a:picLocks noChangeAspect="1" noChangeArrowheads="1"/>
                  </pic:cNvPicPr>
                </pic:nvPicPr>
                <pic:blipFill>
                  <a:blip r:embed="rId3"/>
                  <a:stretch>
                    <a:fillRect/>
                  </a:stretch>
                </pic:blipFill>
                <pic:spPr bwMode="auto">
                  <a:xfrm>
                    <a:off x="0" y="0"/>
                    <a:ext cx="1116330" cy="531495"/>
                  </a:xfrm>
                  <a:prstGeom prst="rect">
                    <a:avLst/>
                  </a:prstGeom>
                </pic:spPr>
              </pic:pic>
            </a:graphicData>
          </a:graphic>
        </wp:inline>
      </w:drawing>
    </w:r>
    <w:r>
      <w:rPr>
        <w:bCs/>
        <w:color w:val="002060"/>
        <w:sz w:val="14"/>
        <w:szCs w:val="14"/>
      </w:rPr>
      <w:t xml:space="preserve">                                                       </w:t>
    </w:r>
  </w:p>
  <w:p w:rsidR="00FE3050" w:rsidRDefault="00FE3050">
    <w:pPr>
      <w:pStyle w:val="Intestazione"/>
      <w:tabs>
        <w:tab w:val="left" w:pos="5956"/>
      </w:tabs>
    </w:pPr>
  </w:p>
  <w:p w:rsidR="00FE3050" w:rsidRDefault="003C6A6B">
    <w:pPr>
      <w:pStyle w:val="Intestazione"/>
      <w:tabs>
        <w:tab w:val="left" w:pos="5956"/>
      </w:tabs>
    </w:pPr>
    <w:r>
      <w:tab/>
    </w:r>
  </w:p>
  <w:p w:rsidR="00FE3050" w:rsidRDefault="00FE305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A4C04"/>
    <w:multiLevelType w:val="multilevel"/>
    <w:tmpl w:val="EE3AE51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4D55103"/>
    <w:multiLevelType w:val="multilevel"/>
    <w:tmpl w:val="6CD468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580B6DDE"/>
    <w:multiLevelType w:val="multilevel"/>
    <w:tmpl w:val="6AAEF6B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050"/>
    <w:rsid w:val="00223E18"/>
    <w:rsid w:val="003C6A6B"/>
    <w:rsid w:val="00776101"/>
    <w:rsid w:val="00A93374"/>
    <w:rsid w:val="00FE3050"/>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E5A2E8"/>
  <w15:docId w15:val="{76873689-F075-4336-9F05-5557FA2A1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EC6E9D"/>
  </w:style>
  <w:style w:type="character" w:customStyle="1" w:styleId="PidipaginaCarattere">
    <w:name w:val="Piè di pagina Carattere"/>
    <w:basedOn w:val="Carpredefinitoparagrafo"/>
    <w:link w:val="Pidipagina"/>
    <w:uiPriority w:val="99"/>
    <w:qFormat/>
    <w:rsid w:val="00EC6E9D"/>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uiPriority w:val="34"/>
    <w:qFormat/>
    <w:rsid w:val="00F4098B"/>
    <w:pPr>
      <w:ind w:left="720"/>
      <w:contextualSpacing/>
    </w:p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EC6E9D"/>
    <w:pPr>
      <w:tabs>
        <w:tab w:val="center" w:pos="4819"/>
        <w:tab w:val="right" w:pos="9638"/>
      </w:tabs>
      <w:spacing w:after="0" w:line="240" w:lineRule="auto"/>
    </w:pPr>
  </w:style>
  <w:style w:type="paragraph" w:styleId="Pidipagina">
    <w:name w:val="footer"/>
    <w:basedOn w:val="Normale"/>
    <w:link w:val="PidipaginaCarattere"/>
    <w:uiPriority w:val="99"/>
    <w:unhideWhenUsed/>
    <w:rsid w:val="00EC6E9D"/>
    <w:pPr>
      <w:tabs>
        <w:tab w:val="center" w:pos="4819"/>
        <w:tab w:val="right" w:pos="9638"/>
      </w:tabs>
      <w:spacing w:after="0" w:line="240" w:lineRule="auto"/>
    </w:pPr>
  </w:style>
  <w:style w:type="paragraph" w:customStyle="1" w:styleId="Default">
    <w:name w:val="Default"/>
    <w:qFormat/>
    <w:rsid w:val="00B77C0B"/>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2</Pages>
  <Words>946</Words>
  <Characters>5010</Characters>
  <Application>Microsoft Office Word</Application>
  <DocSecurity>0</DocSecurity>
  <Lines>83</Lines>
  <Paragraphs>31</Paragraphs>
  <ScaleCrop>false</ScaleCrop>
  <HeadingPairs>
    <vt:vector size="2" baseType="variant">
      <vt:variant>
        <vt:lpstr>Titolo</vt:lpstr>
      </vt:variant>
      <vt:variant>
        <vt:i4>1</vt:i4>
      </vt:variant>
    </vt:vector>
  </HeadingPairs>
  <TitlesOfParts>
    <vt:vector size="1" baseType="lpstr">
      <vt:lpstr/>
    </vt:vector>
  </TitlesOfParts>
  <Company>Universit� degli Studi di Verona</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Morelato</dc:creator>
  <dc:description/>
  <cp:lastModifiedBy>Camilla Morelato</cp:lastModifiedBy>
  <cp:revision>14</cp:revision>
  <cp:lastPrinted>2022-08-08T09:14:00Z</cp:lastPrinted>
  <dcterms:created xsi:type="dcterms:W3CDTF">2021-10-04T19:57:00Z</dcterms:created>
  <dcterms:modified xsi:type="dcterms:W3CDTF">2024-07-29T13:47:00Z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8618cde592fc2839b6eef610ac508d980a56cf09bde48f1e0872e0a7a62a02b2</vt:lpwstr>
  </property>
</Properties>
</file>