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9F" w:rsidRPr="00007F9F" w:rsidRDefault="00007F9F" w:rsidP="00007F9F">
      <w:pPr>
        <w:spacing w:before="100" w:beforeAutospacing="1" w:after="100" w:afterAutospacing="1"/>
        <w:jc w:val="center"/>
        <w:rPr>
          <w:rFonts w:ascii="Calibri" w:hAnsi="Calibri"/>
          <w:b/>
          <w:sz w:val="40"/>
          <w:szCs w:val="40"/>
        </w:rPr>
      </w:pPr>
      <w:r w:rsidRPr="00007F9F">
        <w:rPr>
          <w:rFonts w:ascii="Calibri" w:hAnsi="Calibri"/>
          <w:b/>
          <w:sz w:val="40"/>
          <w:szCs w:val="40"/>
        </w:rPr>
        <w:t>BANDO FSE – FAQ REGIONE VENETO</w:t>
      </w:r>
    </w:p>
    <w:p w:rsidR="00007F9F" w:rsidRDefault="00007F9F" w:rsidP="00007F9F">
      <w:pPr>
        <w:spacing w:before="100" w:beforeAutospacing="1" w:after="100" w:afterAutospacing="1"/>
        <w:jc w:val="both"/>
      </w:pPr>
      <w:r w:rsidRPr="00007F9F">
        <w:rPr>
          <w:rFonts w:ascii="Calibri" w:hAnsi="Calibri"/>
          <w:b/>
        </w:rPr>
        <w:t>1)</w:t>
      </w:r>
      <w:r>
        <w:rPr>
          <w:rFonts w:ascii="Calibri" w:hAnsi="Calibri"/>
        </w:rPr>
        <w:t xml:space="preserve"> Al paragrafo 5 (pag. 14) allegato B alla DGR 2216, si precisa che gli assegni di ricerca sono a favore di giovani ricercatori veneti: ciò significa che si devono selezionare solo candidati con residenza in Veneto?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 xml:space="preserve">La direttiva prevede che l’assegno di ricerca sia destinato a ricercatori degli  Atenei/Centri di ricerca veneti e non fa riferimento alla residenza dell’assegnista. Si precisa, tuttavia, che l’obiettivo dell’assegno di ricerca, è quello di contribuire alla trasformazione delle imprese venete, quindi la ricerca deve avere un impatto scientifico per le imprese del territorio. </w:t>
      </w:r>
    </w:p>
    <w:p w:rsidR="00007F9F" w:rsidRDefault="00007F9F" w:rsidP="00007F9F">
      <w:pPr>
        <w:spacing w:before="100" w:beforeAutospacing="1" w:after="100" w:afterAutospacing="1"/>
        <w:jc w:val="both"/>
      </w:pPr>
      <w:r w:rsidRPr="00007F9F">
        <w:rPr>
          <w:rFonts w:ascii="Calibri" w:hAnsi="Calibri"/>
          <w:b/>
          <w:color w:val="FF0000"/>
          <w:sz w:val="22"/>
          <w:szCs w:val="22"/>
        </w:rPr>
        <w:t> </w:t>
      </w:r>
      <w:r w:rsidRPr="00007F9F">
        <w:rPr>
          <w:rFonts w:ascii="Calibri" w:hAnsi="Calibri"/>
          <w:b/>
        </w:rPr>
        <w:t>2)</w:t>
      </w:r>
      <w:r>
        <w:rPr>
          <w:rFonts w:ascii="Calibri" w:hAnsi="Calibri"/>
        </w:rPr>
        <w:t xml:space="preserve"> Nella griglia di valutazione della direttiva la </w:t>
      </w:r>
      <w:proofErr w:type="spellStart"/>
      <w:r>
        <w:rPr>
          <w:rFonts w:ascii="Calibri" w:hAnsi="Calibri"/>
        </w:rPr>
        <w:t>premialità</w:t>
      </w:r>
      <w:proofErr w:type="spellEnd"/>
      <w:r>
        <w:rPr>
          <w:rFonts w:ascii="Calibri" w:hAnsi="Calibri"/>
        </w:rPr>
        <w:t xml:space="preserve"> per la permanenza dell'assegnista in azienda per almeno 100 giorni è riconosciuta solo nelle tipologie A e B; mentre nell'allegato C al decreto n. 8 del 11/01/2017, tra le indicazioni per la compilazione della scheda 4 tra i codici prioritari non si esclude la tipologia C da tale </w:t>
      </w:r>
      <w:proofErr w:type="spellStart"/>
      <w:r>
        <w:rPr>
          <w:rFonts w:ascii="Calibri" w:hAnsi="Calibri"/>
        </w:rPr>
        <w:t>premialità</w:t>
      </w:r>
      <w:proofErr w:type="spellEnd"/>
      <w:r>
        <w:rPr>
          <w:rFonts w:ascii="Calibri" w:hAnsi="Calibri"/>
        </w:rPr>
        <w:t xml:space="preserve">. La </w:t>
      </w:r>
      <w:proofErr w:type="spellStart"/>
      <w:r>
        <w:rPr>
          <w:rFonts w:ascii="Calibri" w:hAnsi="Calibri"/>
        </w:rPr>
        <w:t>premialità</w:t>
      </w:r>
      <w:proofErr w:type="spellEnd"/>
      <w:r>
        <w:rPr>
          <w:rFonts w:ascii="Calibri" w:hAnsi="Calibri"/>
        </w:rPr>
        <w:t xml:space="preserve"> in questione è quindi valida per tutte le tipologie o no?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 xml:space="preserve">La </w:t>
      </w:r>
      <w:proofErr w:type="spellStart"/>
      <w:r>
        <w:rPr>
          <w:rFonts w:ascii="Calibri" w:hAnsi="Calibri"/>
          <w:color w:val="FF0000"/>
          <w:sz w:val="22"/>
          <w:szCs w:val="22"/>
        </w:rPr>
        <w:t>premialità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relativa alla permanenza in azienda del ricercatore per almeno 100 giorni è riconosciuta per tutte le tipologie progettuali, così come previsto dal paragrafo 11 della Direttiva. </w:t>
      </w:r>
    </w:p>
    <w:p w:rsidR="00007F9F" w:rsidRDefault="00007F9F" w:rsidP="00007F9F">
      <w:pPr>
        <w:spacing w:before="100" w:beforeAutospacing="1" w:after="100" w:afterAutospacing="1"/>
        <w:jc w:val="both"/>
      </w:pPr>
      <w:r w:rsidRPr="00007F9F">
        <w:rPr>
          <w:rFonts w:ascii="Calibri" w:hAnsi="Calibri"/>
          <w:b/>
        </w:rPr>
        <w:t> 3)</w:t>
      </w:r>
      <w:r>
        <w:rPr>
          <w:rFonts w:ascii="Calibri" w:hAnsi="Calibri"/>
        </w:rPr>
        <w:t xml:space="preserve"> Attività di </w:t>
      </w:r>
      <w:proofErr w:type="spellStart"/>
      <w:r>
        <w:rPr>
          <w:rFonts w:ascii="Calibri" w:hAnsi="Calibri"/>
        </w:rPr>
        <w:t>coaching</w:t>
      </w:r>
      <w:proofErr w:type="spellEnd"/>
      <w:r>
        <w:rPr>
          <w:rFonts w:ascii="Calibri" w:hAnsi="Calibri"/>
        </w:rPr>
        <w:t xml:space="preserve">: a pagina 18 dell'allegato B alla DGR 2216, si precisa che </w:t>
      </w:r>
      <w:r>
        <w:rPr>
          <w:rFonts w:ascii="Calibri" w:hAnsi="Calibri"/>
          <w:i/>
          <w:iCs/>
        </w:rPr>
        <w:t xml:space="preserve">"il </w:t>
      </w:r>
      <w:proofErr w:type="spellStart"/>
      <w:r>
        <w:rPr>
          <w:rFonts w:ascii="Calibri" w:hAnsi="Calibri"/>
          <w:i/>
          <w:iCs/>
        </w:rPr>
        <w:t>coaching</w:t>
      </w:r>
      <w:proofErr w:type="spellEnd"/>
      <w:r>
        <w:rPr>
          <w:rFonts w:ascii="Calibri" w:hAnsi="Calibri"/>
          <w:i/>
          <w:iCs/>
        </w:rPr>
        <w:t xml:space="preserve"> è un'attività di supporto – individuale o di gruppo –</w:t>
      </w:r>
      <w:r>
        <w:rPr>
          <w:rFonts w:ascii="Calibri" w:hAnsi="Calibri"/>
          <w:b/>
          <w:bCs/>
          <w:i/>
          <w:iCs/>
        </w:rPr>
        <w:t xml:space="preserve"> rivolta alle imprese micro e piccole partner di progetto</w:t>
      </w:r>
      <w:r>
        <w:rPr>
          <w:rFonts w:ascii="Calibri" w:hAnsi="Calibri"/>
          <w:i/>
          <w:iCs/>
        </w:rPr>
        <w:t xml:space="preserve"> che necessitano di assistenza e di formazione per poter beneficiare al meglio delle attività di ricerca"; </w:t>
      </w:r>
      <w:r>
        <w:rPr>
          <w:rFonts w:ascii="Calibri" w:hAnsi="Calibri"/>
        </w:rPr>
        <w:t>perché non rientra tra le attività per le quali le aziende sono obbligate alla dichiarazione sugli "Aiuti di stato" come specificato a pagina 33 punto 17 della stessa Direttiva?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 xml:space="preserve">Nell’ambito della presente direttiva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e </w:t>
      </w:r>
      <w:proofErr w:type="spellStart"/>
      <w:r>
        <w:rPr>
          <w:rFonts w:ascii="Calibri" w:hAnsi="Calibri"/>
          <w:color w:val="FF0000"/>
          <w:sz w:val="22"/>
          <w:szCs w:val="22"/>
        </w:rPr>
        <w:t>coaching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si configurano come attività alternative rientranti negli interventi per la ricerca in azienda. Pertanto, parimenti alle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, le somme destinate alle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coaching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sono erogate in conformità a quanto previsto dalla normativa degli aiuti di stato. 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</w:rPr>
        <w:t> </w:t>
      </w:r>
      <w:r w:rsidRPr="00007F9F">
        <w:rPr>
          <w:rFonts w:ascii="Calibri" w:hAnsi="Calibri"/>
          <w:b/>
        </w:rPr>
        <w:t>4)</w:t>
      </w:r>
      <w:r>
        <w:rPr>
          <w:rFonts w:ascii="Calibri" w:hAnsi="Calibri"/>
        </w:rPr>
        <w:t xml:space="preserve"> A pagina 18 pagina dell'allegato B alla DGR 2216 "</w:t>
      </w:r>
      <w:r>
        <w:rPr>
          <w:rFonts w:ascii="Calibri" w:hAnsi="Calibri"/>
          <w:i/>
          <w:iCs/>
        </w:rPr>
        <w:t xml:space="preserve">si precisa che, essendo le attività di </w:t>
      </w:r>
      <w:proofErr w:type="spellStart"/>
      <w:r>
        <w:rPr>
          <w:rFonts w:ascii="Calibri" w:hAnsi="Calibri"/>
          <w:i/>
          <w:iCs/>
        </w:rPr>
        <w:t>action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research</w:t>
      </w:r>
      <w:proofErr w:type="spellEnd"/>
      <w:r>
        <w:rPr>
          <w:rFonts w:ascii="Calibri" w:hAnsi="Calibri"/>
          <w:i/>
          <w:iCs/>
        </w:rPr>
        <w:t xml:space="preserve"> e </w:t>
      </w:r>
      <w:proofErr w:type="spellStart"/>
      <w:r>
        <w:rPr>
          <w:rFonts w:ascii="Calibri" w:hAnsi="Calibri"/>
          <w:i/>
          <w:iCs/>
        </w:rPr>
        <w:t>coaching</w:t>
      </w:r>
      <w:proofErr w:type="spellEnd"/>
      <w:r>
        <w:rPr>
          <w:rFonts w:ascii="Calibri" w:hAnsi="Calibri"/>
          <w:i/>
          <w:iCs/>
        </w:rPr>
        <w:t>, nell'ambito della presente Direttiva, attività alternative, il costo massimo complessivo per entrambe le attività è fissato ad</w:t>
      </w:r>
      <w:r>
        <w:rPr>
          <w:rFonts w:ascii="Calibri" w:hAnsi="Calibri"/>
          <w:b/>
          <w:bCs/>
          <w:i/>
          <w:iCs/>
        </w:rPr>
        <w:t xml:space="preserve"> € 4.950,00 per singolo ricercatore coinvolto nel progetto</w:t>
      </w:r>
      <w:r>
        <w:rPr>
          <w:rFonts w:ascii="Calibri" w:hAnsi="Calibri"/>
          <w:i/>
          <w:iCs/>
        </w:rPr>
        <w:t xml:space="preserve">": </w:t>
      </w:r>
      <w:r>
        <w:rPr>
          <w:rFonts w:ascii="Calibri" w:hAnsi="Calibri"/>
        </w:rPr>
        <w:t xml:space="preserve">Nel caso di </w:t>
      </w:r>
      <w:proofErr w:type="spellStart"/>
      <w:r>
        <w:rPr>
          <w:rFonts w:ascii="Calibri" w:hAnsi="Calibri"/>
        </w:rPr>
        <w:t>coaching</w:t>
      </w:r>
      <w:proofErr w:type="spellEnd"/>
      <w:r>
        <w:rPr>
          <w:rFonts w:ascii="Calibri" w:hAnsi="Calibri"/>
        </w:rPr>
        <w:t xml:space="preserve"> di gruppo come ci si regola visto che è un'attività che coinvolge più destinatari?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 xml:space="preserve">Si precisa che le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coaching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, come quelle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, sono destinate alle aziende verso le quali è diretto il progetto di ricerca dell’assegnista o degli assegnisti. Pertanto, non sono gli assegnisti i destinatari di tali attività e tantomeno coloro responsabili della realizzare delle medesime. Gli assegnisti, tuttavia, in particolare per le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, posso partecipare all’intervento (per tutta la durata o per la parte più aderente agli interessi di ricerca del progetto). Premesso ciò, nel </w:t>
      </w:r>
      <w:proofErr w:type="spellStart"/>
      <w:r>
        <w:rPr>
          <w:rFonts w:ascii="Calibri" w:hAnsi="Calibri"/>
          <w:color w:val="FF0000"/>
          <w:sz w:val="22"/>
          <w:szCs w:val="22"/>
        </w:rPr>
        <w:t>coaching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di gruppo, è possibile coinvolgere più dipendenti di imprese (da 2 a 8) micro e piccole partner di progetto, e verrà riconosciuto un costo per tale attività pari a €25,00 ora/destinatario. Il costo massimo complessivo riconosciuto dalla direttiva sia per le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coaching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che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è di € 4.950,00 per ogni ricercatore. Il calcolo delle ore complessive di </w:t>
      </w:r>
      <w:proofErr w:type="spellStart"/>
      <w:r>
        <w:rPr>
          <w:rFonts w:ascii="Calibri" w:hAnsi="Calibri"/>
          <w:color w:val="FF0000"/>
          <w:sz w:val="22"/>
          <w:szCs w:val="22"/>
        </w:rPr>
        <w:t>coaching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e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da poter erogare alle imprese, va considerato pertanto in riferimento all’importo massimo riconosciuto di € 4.950,00 per ricercatore (selezionato dall’ateneo/centro di ricerca veneto) coinvolto nel progetto .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007F9F" w:rsidRDefault="00007F9F" w:rsidP="00007F9F">
      <w:pPr>
        <w:spacing w:before="100" w:beforeAutospacing="1" w:after="100" w:afterAutospacing="1"/>
        <w:jc w:val="both"/>
        <w:rPr>
          <w:rFonts w:ascii="Calibri" w:hAnsi="Calibri"/>
          <w:color w:val="1F497D"/>
        </w:rPr>
      </w:pPr>
      <w:r w:rsidRPr="00007F9F">
        <w:rPr>
          <w:rFonts w:ascii="Calibri" w:hAnsi="Calibri"/>
          <w:b/>
          <w:color w:val="1F497D"/>
          <w:sz w:val="22"/>
          <w:szCs w:val="22"/>
        </w:rPr>
        <w:lastRenderedPageBreak/>
        <w:t> </w:t>
      </w:r>
      <w:r w:rsidRPr="00007F9F">
        <w:rPr>
          <w:rFonts w:ascii="Calibri" w:hAnsi="Calibri"/>
          <w:b/>
        </w:rPr>
        <w:t>5)</w:t>
      </w:r>
      <w:r>
        <w:rPr>
          <w:rFonts w:ascii="Calibri" w:hAnsi="Calibri"/>
        </w:rPr>
        <w:t xml:space="preserve"> Mobilità transnazionale obbligatoria minimo 3 massimo 6 mesi: Sono previste anche frazioni di mese? In questo caso come va imputata la frazione mensile nel gestionale "Approvo" e come calcoliamo l'importo corrispondente alla frazione mensile?</w:t>
      </w:r>
      <w:r>
        <w:rPr>
          <w:rFonts w:ascii="Calibri" w:hAnsi="Calibri"/>
          <w:color w:val="1F497D"/>
        </w:rPr>
        <w:t xml:space="preserve"> 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>No</w:t>
      </w:r>
    </w:p>
    <w:p w:rsidR="00007F9F" w:rsidRDefault="00007F9F" w:rsidP="00007F9F">
      <w:pPr>
        <w:spacing w:before="100" w:beforeAutospacing="1" w:after="100" w:afterAutospacing="1"/>
        <w:jc w:val="both"/>
      </w:pPr>
      <w:r w:rsidRPr="00007F9F">
        <w:rPr>
          <w:rFonts w:ascii="Calibri" w:hAnsi="Calibri"/>
          <w:b/>
          <w:color w:val="1F497D"/>
          <w:sz w:val="22"/>
          <w:szCs w:val="22"/>
        </w:rPr>
        <w:t> </w:t>
      </w:r>
      <w:r w:rsidRPr="00007F9F">
        <w:rPr>
          <w:rFonts w:ascii="Calibri" w:hAnsi="Calibri"/>
          <w:b/>
        </w:rPr>
        <w:t>6)</w:t>
      </w:r>
      <w:r>
        <w:rPr>
          <w:rFonts w:ascii="Calibri" w:hAnsi="Calibri"/>
        </w:rPr>
        <w:t xml:space="preserve"> Mobilità interregionale: sono riconosciuti soli i viaggi verso l'ateneo/centro di ricerca partner di progetto?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>Sono ammessi i costi della mobilità fuori regione coerenti ed utili al raggiungimento degli obiettivi del progetto di ricerca. Si ricorda che quest’ultimi sono riconosciuti nell’ammontare massimo del 10% del valore dell’assegno.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</w:rPr>
        <w:t> </w:t>
      </w:r>
      <w:r w:rsidRPr="00007F9F">
        <w:rPr>
          <w:rFonts w:ascii="Calibri" w:hAnsi="Calibri"/>
          <w:b/>
        </w:rPr>
        <w:t>7)</w:t>
      </w:r>
      <w:r>
        <w:rPr>
          <w:rFonts w:ascii="Calibri" w:hAnsi="Calibri"/>
        </w:rPr>
        <w:t xml:space="preserve"> Sull'allegato C del decreto n.8 del 11/01/2017, a pagina 13 nella parte finanziaria della scheda 4 si fa riferimento alla voce di spesa </w:t>
      </w:r>
      <w:r>
        <w:rPr>
          <w:rFonts w:ascii="Calibri" w:hAnsi="Calibri"/>
          <w:b/>
          <w:bCs/>
          <w:i/>
          <w:iCs/>
        </w:rPr>
        <w:t xml:space="preserve">A2.1 Retribuzioni e oneri personale dipendente beneficiario </w:t>
      </w:r>
      <w:r>
        <w:rPr>
          <w:rFonts w:ascii="Calibri" w:hAnsi="Calibri"/>
        </w:rPr>
        <w:t xml:space="preserve">e </w:t>
      </w:r>
      <w:r>
        <w:rPr>
          <w:rFonts w:ascii="Calibri" w:hAnsi="Calibri"/>
          <w:b/>
          <w:bCs/>
          <w:i/>
          <w:iCs/>
        </w:rPr>
        <w:t xml:space="preserve">B2.24 Retribuzioni e oneri personale dipendente beneficiario, </w:t>
      </w:r>
      <w:r>
        <w:rPr>
          <w:rFonts w:ascii="Calibri" w:hAnsi="Calibri"/>
        </w:rPr>
        <w:t>di cosa si tratta?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 xml:space="preserve">Queste voci di spese riguardano il cofinanziamento previsto da parte delle aziende qualora venga scelto il regime di aiuti di stato Reg. UE 651/14. Vanno inserite le seguenti voci, quindi, qualora le imprese coinvolte nel partenariato siano destinatarie di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o </w:t>
      </w:r>
      <w:proofErr w:type="spellStart"/>
      <w:r>
        <w:rPr>
          <w:rFonts w:ascii="Calibri" w:hAnsi="Calibri"/>
          <w:color w:val="FF0000"/>
          <w:sz w:val="22"/>
          <w:szCs w:val="22"/>
        </w:rPr>
        <w:t>coaching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 xml:space="preserve">e non si avvalgano del regime de </w:t>
      </w:r>
      <w:proofErr w:type="spellStart"/>
      <w:r>
        <w:rPr>
          <w:rFonts w:ascii="Calibri" w:hAnsi="Calibri"/>
          <w:color w:val="FF0000"/>
          <w:sz w:val="22"/>
          <w:szCs w:val="22"/>
        </w:rPr>
        <w:t>minimis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</w:p>
    <w:p w:rsidR="00007F9F" w:rsidRDefault="00007F9F" w:rsidP="00007F9F">
      <w:pPr>
        <w:spacing w:before="100" w:beforeAutospacing="1" w:after="100" w:afterAutospacing="1"/>
        <w:jc w:val="both"/>
      </w:pPr>
      <w:r w:rsidRPr="00007F9F">
        <w:rPr>
          <w:rFonts w:ascii="Calibri" w:hAnsi="Calibri"/>
          <w:b/>
        </w:rPr>
        <w:t> 8)</w:t>
      </w:r>
      <w:r>
        <w:rPr>
          <w:rFonts w:ascii="Calibri" w:hAnsi="Calibri"/>
        </w:rPr>
        <w:t xml:space="preserve"> Action-</w:t>
      </w:r>
      <w:proofErr w:type="spellStart"/>
      <w:r>
        <w:rPr>
          <w:rFonts w:ascii="Calibri" w:hAnsi="Calibri"/>
        </w:rPr>
        <w:t>Research</w:t>
      </w:r>
      <w:proofErr w:type="spellEnd"/>
      <w:r>
        <w:rPr>
          <w:rFonts w:ascii="Calibri" w:hAnsi="Calibri"/>
        </w:rPr>
        <w:t>:</w:t>
      </w:r>
    </w:p>
    <w:p w:rsidR="00007F9F" w:rsidRDefault="00007F9F" w:rsidP="00007F9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Calibri" w:hAnsi="Calibri"/>
        </w:rPr>
        <w:t>N</w:t>
      </w:r>
      <w:r>
        <w:rPr>
          <w:rFonts w:ascii="Calibri" w:hAnsi="Calibri"/>
        </w:rPr>
        <w:t xml:space="preserve">on è chiaro quante schede 6 sono necessarie: Una scheda 6 per ogni azienda oppure 1 per ogni assegnista? (es: Nel caso ci sia un progetto con un'azienda destinataria dell'attività di </w:t>
      </w:r>
      <w:proofErr w:type="spellStart"/>
      <w:r>
        <w:rPr>
          <w:rFonts w:ascii="Calibri" w:hAnsi="Calibri"/>
        </w:rPr>
        <w:t>action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research</w:t>
      </w:r>
      <w:proofErr w:type="spellEnd"/>
      <w:r>
        <w:rPr>
          <w:rFonts w:ascii="Calibri" w:hAnsi="Calibri"/>
        </w:rPr>
        <w:t xml:space="preserve"> e due assegnisti coinvolti è necessario compilare una o due scheda 6? Nel caso invece ci fossero due aziende destinatarie e un solo assegnista, quante schede 6 si devono compilare?); Nel caso in cui fosse necessario creare una scheda 6 per ogni azienda (più aziende con un unico assegnista), le ore di </w:t>
      </w:r>
      <w:proofErr w:type="spellStart"/>
      <w:r>
        <w:rPr>
          <w:rFonts w:ascii="Calibri" w:hAnsi="Calibri"/>
        </w:rPr>
        <w:t>action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research</w:t>
      </w:r>
      <w:proofErr w:type="spellEnd"/>
      <w:r>
        <w:rPr>
          <w:rFonts w:ascii="Calibri" w:hAnsi="Calibri"/>
        </w:rPr>
        <w:t xml:space="preserve"> imputabili in ogni scheda possono essere inferiori a 27 ore?</w:t>
      </w:r>
    </w:p>
    <w:p w:rsidR="00007F9F" w:rsidRDefault="00007F9F" w:rsidP="00007F9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ascii="Calibri" w:hAnsi="Calibri"/>
        </w:rPr>
        <w:t xml:space="preserve">In che senso l'attività di </w:t>
      </w:r>
      <w:proofErr w:type="spellStart"/>
      <w:r>
        <w:rPr>
          <w:rFonts w:ascii="Calibri" w:hAnsi="Calibri"/>
        </w:rPr>
        <w:t>action-research</w:t>
      </w:r>
      <w:proofErr w:type="spellEnd"/>
      <w:r>
        <w:rPr>
          <w:rFonts w:ascii="Calibri" w:hAnsi="Calibri"/>
        </w:rPr>
        <w:t xml:space="preserve"> è alternativa al </w:t>
      </w:r>
      <w:proofErr w:type="spellStart"/>
      <w:r>
        <w:rPr>
          <w:rFonts w:ascii="Calibri" w:hAnsi="Calibri"/>
        </w:rPr>
        <w:t>coaching</w:t>
      </w:r>
      <w:proofErr w:type="spellEnd"/>
      <w:r>
        <w:rPr>
          <w:rFonts w:ascii="Calibri" w:hAnsi="Calibri"/>
        </w:rPr>
        <w:t xml:space="preserve">? Se prevedo attività di </w:t>
      </w:r>
      <w:proofErr w:type="spellStart"/>
      <w:r>
        <w:rPr>
          <w:rFonts w:ascii="Calibri" w:hAnsi="Calibri"/>
        </w:rPr>
        <w:t>action-research</w:t>
      </w:r>
      <w:proofErr w:type="spellEnd"/>
      <w:r>
        <w:rPr>
          <w:rFonts w:ascii="Calibri" w:hAnsi="Calibri"/>
        </w:rPr>
        <w:t xml:space="preserve"> non posso attivare attività di </w:t>
      </w:r>
      <w:proofErr w:type="spellStart"/>
      <w:r>
        <w:rPr>
          <w:rFonts w:ascii="Calibri" w:hAnsi="Calibri"/>
        </w:rPr>
        <w:t>coaching</w:t>
      </w:r>
      <w:proofErr w:type="spellEnd"/>
      <w:r>
        <w:rPr>
          <w:rFonts w:ascii="Calibri" w:hAnsi="Calibri"/>
        </w:rPr>
        <w:t>?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 xml:space="preserve">Le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sono dedicate a medie e grandi imprese. Le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coaching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sono dedicate a piccole e micro imprese. Non è ammissibile un’attività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destinata ad una micro o piccola impresa. In merito </w:t>
      </w:r>
      <w:proofErr w:type="spellStart"/>
      <w:r>
        <w:rPr>
          <w:rFonts w:ascii="Calibri" w:hAnsi="Calibri"/>
          <w:color w:val="FF0000"/>
          <w:sz w:val="22"/>
          <w:szCs w:val="22"/>
        </w:rPr>
        <w:t>all’action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, bisogna compilare tante schede 6 quante sono le attività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a cui è collegato l’assegno di ricerca, così come precisato a pagina 18 dell’Allegato C DDR n. 8/17. 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 xml:space="preserve">Un intervento di </w:t>
      </w:r>
      <w:proofErr w:type="spellStart"/>
      <w:r>
        <w:rPr>
          <w:rFonts w:ascii="Calibri" w:hAnsi="Calibri"/>
          <w:color w:val="FF0000"/>
          <w:sz w:val="22"/>
          <w:szCs w:val="22"/>
        </w:rPr>
        <w:t>action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FF0000"/>
          <w:sz w:val="22"/>
          <w:szCs w:val="22"/>
        </w:rPr>
        <w:t>research</w:t>
      </w:r>
      <w:proofErr w:type="spellEnd"/>
      <w:r>
        <w:rPr>
          <w:rFonts w:ascii="Calibri" w:hAnsi="Calibri"/>
          <w:color w:val="FF0000"/>
          <w:sz w:val="22"/>
          <w:szCs w:val="22"/>
        </w:rPr>
        <w:t xml:space="preserve"> deve essere minimo di 27 ore.</w:t>
      </w:r>
    </w:p>
    <w:p w:rsidR="00007F9F" w:rsidRDefault="00007F9F" w:rsidP="00007F9F">
      <w:pPr>
        <w:spacing w:before="100" w:beforeAutospacing="1" w:after="100" w:afterAutospacing="1"/>
        <w:jc w:val="both"/>
        <w:rPr>
          <w:rFonts w:ascii="Calibri" w:hAnsi="Calibri"/>
        </w:rPr>
      </w:pPr>
      <w:r w:rsidRPr="00007F9F">
        <w:rPr>
          <w:rFonts w:ascii="Calibri" w:hAnsi="Calibri"/>
          <w:b/>
        </w:rPr>
        <w:t>9)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Coaching</w:t>
      </w:r>
      <w:proofErr w:type="spellEnd"/>
      <w:r>
        <w:rPr>
          <w:rFonts w:ascii="Calibri" w:hAnsi="Calibri"/>
        </w:rPr>
        <w:t>: possono beneficiare di tale attività anche le imprese medio/grandi?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>NO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1F497D"/>
          <w:sz w:val="22"/>
          <w:szCs w:val="22"/>
        </w:rPr>
        <w:t> </w:t>
      </w:r>
      <w:r w:rsidRPr="00007F9F">
        <w:rPr>
          <w:rFonts w:ascii="Calibri" w:hAnsi="Calibri"/>
          <w:b/>
        </w:rPr>
        <w:t>10)</w:t>
      </w:r>
      <w:r>
        <w:rPr>
          <w:rFonts w:ascii="Calibri" w:hAnsi="Calibri"/>
        </w:rPr>
        <w:t xml:space="preserve"> in merito alla </w:t>
      </w:r>
      <w:r>
        <w:rPr>
          <w:rFonts w:ascii="Calibri" w:hAnsi="Calibri"/>
          <w:u w:val="single"/>
        </w:rPr>
        <w:t>Tipologia C</w:t>
      </w:r>
      <w:r>
        <w:rPr>
          <w:rFonts w:ascii="Calibri" w:hAnsi="Calibri"/>
        </w:rPr>
        <w:t>: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</w:rPr>
        <w:t xml:space="preserve"> - il n° </w:t>
      </w:r>
      <w:proofErr w:type="spellStart"/>
      <w:r>
        <w:rPr>
          <w:rFonts w:ascii="Calibri" w:hAnsi="Calibri"/>
        </w:rPr>
        <w:t>max</w:t>
      </w:r>
      <w:proofErr w:type="spellEnd"/>
      <w:r>
        <w:rPr>
          <w:rFonts w:ascii="Calibri" w:hAnsi="Calibri"/>
        </w:rPr>
        <w:t xml:space="preserve"> di assegnisti finanziabili per ogni progetto sono 6 o 5? (pag. 14: </w:t>
      </w:r>
      <w:r>
        <w:rPr>
          <w:rFonts w:ascii="Calibri" w:hAnsi="Calibri"/>
          <w:i/>
          <w:iCs/>
        </w:rPr>
        <w:t>In ogni caso, analogamente alla tipologia progettuale “B”, il numero massimo di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ricercatori da poter coinvolgere </w:t>
      </w:r>
      <w:r>
        <w:rPr>
          <w:rFonts w:ascii="Calibri" w:hAnsi="Calibri"/>
          <w:i/>
          <w:iCs/>
        </w:rPr>
        <w:lastRenderedPageBreak/>
        <w:t>in ogni singolo progetto è sei, di cui almeno uno deve obbligatoriamente</w:t>
      </w:r>
      <w:r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i/>
          <w:iCs/>
        </w:rPr>
        <w:t>provenire da un ateneo/centro di ricerca fuori regione (interregionale) o estero (transnazionale).</w:t>
      </w:r>
      <w:r>
        <w:rPr>
          <w:rFonts w:ascii="Calibri" w:hAnsi="Calibri"/>
          <w:color w:val="1F497D"/>
        </w:rPr>
        <w:t> 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FF0000"/>
          <w:sz w:val="22"/>
          <w:szCs w:val="22"/>
        </w:rPr>
        <w:t>Nei progetti di tipologia C il numero massimo di assegni finanziabili è 5 in quanto il  numero massimo di ricercatori che possono essere coinvolti in ogni singolo progetto è 6, di cui almeno uno deve obbligatoriamente provenire da un ateneo/centro di ricerca fuori regione/estero.</w:t>
      </w:r>
      <w:r>
        <w:rPr>
          <w:rFonts w:ascii="Calibri" w:hAnsi="Calibri"/>
          <w:color w:val="1F497D"/>
          <w:sz w:val="22"/>
          <w:szCs w:val="22"/>
        </w:rPr>
        <w:t> 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i/>
          <w:iCs/>
        </w:rPr>
        <w:t xml:space="preserve">- </w:t>
      </w:r>
      <w:r>
        <w:rPr>
          <w:rFonts w:ascii="Calibri" w:hAnsi="Calibri"/>
        </w:rPr>
        <w:t>nel caso di più di 1 assegno in progetto transnazionale: tutti i destinatari/assegnisti hanno obbligo di mobilità minimo di 3 mesi? O è sufficiente anche solo per 1?</w:t>
      </w:r>
      <w:r>
        <w:rPr>
          <w:rFonts w:ascii="Calibri" w:hAnsi="Calibri"/>
          <w:color w:val="1F497D"/>
          <w:sz w:val="22"/>
          <w:szCs w:val="22"/>
        </w:rPr>
        <w:t> </w:t>
      </w:r>
    </w:p>
    <w:p w:rsidR="00007F9F" w:rsidRDefault="00007F9F" w:rsidP="00007F9F">
      <w:p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  <w:color w:val="FF0000"/>
          <w:sz w:val="22"/>
          <w:szCs w:val="22"/>
        </w:rPr>
        <w:t>Tutti gli assegnisti di un progetto di tipologia C– transnazionale devono obbligatoriamente trascorrere un periodo di mobilità di minimo 3 mesi all’estero.</w:t>
      </w:r>
      <w:bookmarkStart w:id="0" w:name="_GoBack"/>
      <w:bookmarkEnd w:id="0"/>
      <w:r>
        <w:rPr>
          <w:rFonts w:ascii="Calibri" w:hAnsi="Calibri"/>
        </w:rPr>
        <w:t> </w:t>
      </w:r>
    </w:p>
    <w:p w:rsidR="00007F9F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</w:rPr>
        <w:t>- il ricercatore dell'ateneo fuori regione/estero deve iniziare la sua ricerca assieme all'assegnista FSE oppure può essere una ricerca già iniziata prima per conto proprio? Il nominativo del ricercatore fuori regione/estero sarà richiesto sul Piano preventivo della ricerca al pari degli altri assegnisti selezionati da Ateneo/i veneti? </w:t>
      </w:r>
    </w:p>
    <w:p w:rsidR="008B6525" w:rsidRDefault="00007F9F" w:rsidP="00007F9F">
      <w:pPr>
        <w:spacing w:before="100" w:beforeAutospacing="1" w:after="100" w:afterAutospacing="1"/>
        <w:jc w:val="both"/>
      </w:pPr>
      <w:r>
        <w:rPr>
          <w:rFonts w:ascii="Calibri" w:hAnsi="Calibri"/>
          <w:color w:val="1F497D"/>
          <w:sz w:val="22"/>
          <w:szCs w:val="22"/>
        </w:rPr>
        <w:t> </w:t>
      </w:r>
      <w:r>
        <w:rPr>
          <w:rFonts w:ascii="Calibri" w:hAnsi="Calibri"/>
          <w:color w:val="FF0000"/>
          <w:sz w:val="22"/>
          <w:szCs w:val="22"/>
        </w:rPr>
        <w:t>Non è obbligatorio che l’attività di ricerca del ricercatore fuori regione/estero inizi contestualmente alla ricerca dell’assegnista FSE. Non è obbligatorio indicare il relativo nominativo (anche se consigliato), ma esclusivamente l’ateneo/centro di ricerca di provenienza (che dovrà obbligatoriamente entrare in partenariato in qualità di partner di rete), così come dettagliato nell’Allegato C DDR n. 8/17 (pagina 8/9).</w:t>
      </w:r>
    </w:p>
    <w:sectPr w:rsidR="008B6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2FA"/>
    <w:multiLevelType w:val="multilevel"/>
    <w:tmpl w:val="9DD8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9F"/>
    <w:rsid w:val="00007F9F"/>
    <w:rsid w:val="008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F9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F9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sysprep</cp:lastModifiedBy>
  <cp:revision>1</cp:revision>
  <dcterms:created xsi:type="dcterms:W3CDTF">2017-01-26T08:27:00Z</dcterms:created>
  <dcterms:modified xsi:type="dcterms:W3CDTF">2017-01-26T08:31:00Z</dcterms:modified>
</cp:coreProperties>
</file>