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 xml:space="preserve">dai </w:t>
      </w:r>
      <w:r w:rsidR="0047631E">
        <w:t>Percorsi di Formazione Iniziale degli Insegnanti A.A 2024/2025</w:t>
      </w:r>
      <w:bookmarkStart w:id="0" w:name="_GoBack"/>
      <w:bookmarkEnd w:id="0"/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1DDAC5CA" wp14:editId="6CE2A1D5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7631E"/>
    <w:rsid w:val="004F2A30"/>
    <w:rsid w:val="00594A80"/>
    <w:rsid w:val="006F413C"/>
    <w:rsid w:val="007F1A7C"/>
    <w:rsid w:val="00931B5B"/>
    <w:rsid w:val="00970062"/>
    <w:rsid w:val="00A346F9"/>
    <w:rsid w:val="00B12653"/>
    <w:rsid w:val="00D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125A5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2023-11-27T11:20:00Z</dcterms:created>
  <dcterms:modified xsi:type="dcterms:W3CDTF">2025-04-11T10:37:00Z</dcterms:modified>
</cp:coreProperties>
</file>